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151F" w14:textId="77777777" w:rsidR="00E40C0E" w:rsidRPr="00B84D96" w:rsidRDefault="00E40C0E" w:rsidP="00B84D96">
      <w:pPr>
        <w:jc w:val="right"/>
        <w:rPr>
          <w:sz w:val="36"/>
          <w:szCs w:val="36"/>
        </w:rPr>
      </w:pPr>
      <w:r>
        <w:rPr>
          <w:sz w:val="36"/>
          <w:szCs w:val="36"/>
        </w:rPr>
        <w:t>June 22, 2020</w:t>
      </w:r>
    </w:p>
    <w:p w14:paraId="1E0C0EF2" w14:textId="77777777" w:rsidR="00694806" w:rsidRPr="00B84D96" w:rsidRDefault="00577E4E" w:rsidP="00B84D96">
      <w:pPr>
        <w:spacing w:after="0" w:line="240" w:lineRule="auto"/>
        <w:contextualSpacing/>
        <w:jc w:val="center"/>
        <w:rPr>
          <w:b/>
          <w:sz w:val="36"/>
          <w:szCs w:val="36"/>
        </w:rPr>
      </w:pPr>
      <w:r>
        <w:rPr>
          <w:b/>
          <w:sz w:val="36"/>
          <w:szCs w:val="36"/>
        </w:rPr>
        <w:t>G</w:t>
      </w:r>
      <w:r w:rsidR="00694806" w:rsidRPr="00694806">
        <w:rPr>
          <w:b/>
          <w:sz w:val="36"/>
          <w:szCs w:val="36"/>
        </w:rPr>
        <w:t xml:space="preserve">ood News and Bad News about </w:t>
      </w:r>
      <w:r w:rsidR="00861433">
        <w:rPr>
          <w:b/>
          <w:sz w:val="36"/>
          <w:szCs w:val="36"/>
        </w:rPr>
        <w:t xml:space="preserve">Newly Imagined </w:t>
      </w:r>
      <w:r w:rsidR="00694806">
        <w:rPr>
          <w:b/>
          <w:sz w:val="36"/>
          <w:szCs w:val="36"/>
        </w:rPr>
        <w:t>Federal Reserve Credit</w:t>
      </w:r>
      <w:r w:rsidR="0070197D">
        <w:rPr>
          <w:b/>
          <w:sz w:val="36"/>
          <w:szCs w:val="36"/>
        </w:rPr>
        <w:t>-Allocation</w:t>
      </w:r>
      <w:r w:rsidR="00694806">
        <w:rPr>
          <w:b/>
          <w:sz w:val="36"/>
          <w:szCs w:val="36"/>
        </w:rPr>
        <w:t xml:space="preserve"> Policies</w:t>
      </w:r>
      <w:r w:rsidR="00E40C0E">
        <w:rPr>
          <w:rStyle w:val="FootnoteReference"/>
          <w:b/>
          <w:sz w:val="36"/>
          <w:szCs w:val="36"/>
        </w:rPr>
        <w:footnoteReference w:customMarkFollows="1" w:id="1"/>
        <w:t>*</w:t>
      </w:r>
    </w:p>
    <w:p w14:paraId="4FA614BB" w14:textId="77777777" w:rsidR="00E40C0E" w:rsidRPr="00B84D96" w:rsidRDefault="00E40C0E" w:rsidP="00B84D96">
      <w:pPr>
        <w:spacing w:after="0" w:line="240" w:lineRule="auto"/>
        <w:contextualSpacing/>
        <w:jc w:val="center"/>
        <w:rPr>
          <w:sz w:val="36"/>
          <w:szCs w:val="36"/>
        </w:rPr>
      </w:pPr>
      <w:r w:rsidRPr="00B84D96">
        <w:rPr>
          <w:sz w:val="36"/>
          <w:szCs w:val="36"/>
        </w:rPr>
        <w:t>Edward J. Kane</w:t>
      </w:r>
    </w:p>
    <w:p w14:paraId="31763A54" w14:textId="77777777" w:rsidR="00E40C0E" w:rsidRPr="00B84D96" w:rsidRDefault="00E40C0E" w:rsidP="00B84D96">
      <w:pPr>
        <w:spacing w:after="0" w:line="240" w:lineRule="auto"/>
        <w:contextualSpacing/>
        <w:jc w:val="center"/>
        <w:rPr>
          <w:i/>
          <w:sz w:val="36"/>
          <w:szCs w:val="36"/>
        </w:rPr>
      </w:pPr>
      <w:r w:rsidRPr="00B84D96">
        <w:rPr>
          <w:i/>
          <w:sz w:val="36"/>
          <w:szCs w:val="36"/>
        </w:rPr>
        <w:t>Boston College</w:t>
      </w:r>
    </w:p>
    <w:p w14:paraId="1FA86DAD" w14:textId="77777777" w:rsidR="00F978D5" w:rsidRDefault="00F978D5">
      <w:pPr>
        <w:rPr>
          <w:sz w:val="36"/>
          <w:szCs w:val="36"/>
        </w:rPr>
      </w:pPr>
      <w:bookmarkStart w:id="0" w:name="_GoBack"/>
      <w:bookmarkEnd w:id="0"/>
    </w:p>
    <w:p w14:paraId="1B84526D" w14:textId="4A337CDE" w:rsidR="00A815A8" w:rsidRDefault="00C845AC">
      <w:pPr>
        <w:rPr>
          <w:sz w:val="36"/>
          <w:szCs w:val="36"/>
        </w:rPr>
      </w:pPr>
      <w:r w:rsidRPr="00C845AC">
        <w:rPr>
          <w:sz w:val="36"/>
          <w:szCs w:val="36"/>
        </w:rPr>
        <w:t>Evid</w:t>
      </w:r>
      <w:r>
        <w:rPr>
          <w:sz w:val="36"/>
          <w:szCs w:val="36"/>
        </w:rPr>
        <w:t xml:space="preserve">ence emerged </w:t>
      </w:r>
      <w:r w:rsidR="00E40C0E">
        <w:rPr>
          <w:sz w:val="36"/>
          <w:szCs w:val="36"/>
        </w:rPr>
        <w:t xml:space="preserve">last </w:t>
      </w:r>
      <w:r>
        <w:rPr>
          <w:sz w:val="36"/>
          <w:szCs w:val="36"/>
        </w:rPr>
        <w:t xml:space="preserve">week of a drug that can </w:t>
      </w:r>
      <w:r w:rsidR="00D47348">
        <w:rPr>
          <w:sz w:val="36"/>
          <w:szCs w:val="36"/>
        </w:rPr>
        <w:t xml:space="preserve">help </w:t>
      </w:r>
      <w:r w:rsidR="000C5830">
        <w:rPr>
          <w:sz w:val="36"/>
          <w:szCs w:val="36"/>
        </w:rPr>
        <w:t>improve outcomes for some patients with severe</w:t>
      </w:r>
      <w:r>
        <w:rPr>
          <w:sz w:val="36"/>
          <w:szCs w:val="36"/>
        </w:rPr>
        <w:t xml:space="preserve"> Covid-19 infections</w:t>
      </w:r>
      <w:r w:rsidR="00D47348">
        <w:rPr>
          <w:sz w:val="36"/>
          <w:szCs w:val="36"/>
        </w:rPr>
        <w:t>.</w:t>
      </w:r>
      <w:r>
        <w:rPr>
          <w:sz w:val="36"/>
          <w:szCs w:val="36"/>
        </w:rPr>
        <w:t xml:space="preserve"> </w:t>
      </w:r>
      <w:r w:rsidR="00D47348">
        <w:rPr>
          <w:sz w:val="36"/>
          <w:szCs w:val="36"/>
        </w:rPr>
        <w:t xml:space="preserve">A stock market rally confirmed that this was good news. In similarly </w:t>
      </w:r>
      <w:r w:rsidR="00FB58A0">
        <w:rPr>
          <w:sz w:val="36"/>
          <w:szCs w:val="36"/>
        </w:rPr>
        <w:t xml:space="preserve">certified </w:t>
      </w:r>
      <w:r w:rsidR="00F7664C">
        <w:rPr>
          <w:sz w:val="36"/>
          <w:szCs w:val="36"/>
        </w:rPr>
        <w:t>good news, t</w:t>
      </w:r>
      <w:r>
        <w:rPr>
          <w:sz w:val="36"/>
          <w:szCs w:val="36"/>
        </w:rPr>
        <w:t>he Federal Reserve System continue</w:t>
      </w:r>
      <w:r w:rsidR="00D47348">
        <w:rPr>
          <w:sz w:val="36"/>
          <w:szCs w:val="36"/>
        </w:rPr>
        <w:t xml:space="preserve">d </w:t>
      </w:r>
      <w:r w:rsidR="00A815A8">
        <w:rPr>
          <w:sz w:val="36"/>
          <w:szCs w:val="36"/>
        </w:rPr>
        <w:t>to operate about a dozen</w:t>
      </w:r>
      <w:r w:rsidR="00F7664C">
        <w:rPr>
          <w:sz w:val="36"/>
          <w:szCs w:val="36"/>
        </w:rPr>
        <w:t xml:space="preserve"> </w:t>
      </w:r>
      <w:r w:rsidR="00F7664C" w:rsidRPr="003D7C94">
        <w:rPr>
          <w:i/>
          <w:sz w:val="36"/>
          <w:szCs w:val="36"/>
        </w:rPr>
        <w:t xml:space="preserve">ad hoc </w:t>
      </w:r>
      <w:r w:rsidR="00F7664C">
        <w:rPr>
          <w:sz w:val="36"/>
          <w:szCs w:val="36"/>
        </w:rPr>
        <w:t>credit facilities</w:t>
      </w:r>
      <w:r w:rsidR="00A815A8">
        <w:rPr>
          <w:sz w:val="36"/>
          <w:szCs w:val="36"/>
        </w:rPr>
        <w:t>, most of which are</w:t>
      </w:r>
      <w:r w:rsidR="00F7664C">
        <w:rPr>
          <w:sz w:val="36"/>
          <w:szCs w:val="36"/>
        </w:rPr>
        <w:t xml:space="preserve"> </w:t>
      </w:r>
      <w:r w:rsidR="00827D15">
        <w:rPr>
          <w:sz w:val="36"/>
          <w:szCs w:val="36"/>
        </w:rPr>
        <w:t xml:space="preserve">newly </w:t>
      </w:r>
      <w:r w:rsidR="00F7664C">
        <w:rPr>
          <w:sz w:val="36"/>
          <w:szCs w:val="36"/>
        </w:rPr>
        <w:t xml:space="preserve">authorized </w:t>
      </w:r>
      <w:r w:rsidR="00827D15">
        <w:rPr>
          <w:sz w:val="36"/>
          <w:szCs w:val="36"/>
        </w:rPr>
        <w:t>by</w:t>
      </w:r>
      <w:r w:rsidR="00A815A8">
        <w:rPr>
          <w:sz w:val="36"/>
          <w:szCs w:val="36"/>
        </w:rPr>
        <w:t xml:space="preserve"> </w:t>
      </w:r>
      <w:r w:rsidR="00F7664C">
        <w:rPr>
          <w:sz w:val="36"/>
          <w:szCs w:val="36"/>
        </w:rPr>
        <w:t>the CARES Act</w:t>
      </w:r>
      <w:r w:rsidR="004916BA">
        <w:rPr>
          <w:sz w:val="36"/>
          <w:szCs w:val="36"/>
        </w:rPr>
        <w:t xml:space="preserve"> of 2020</w:t>
      </w:r>
      <w:r w:rsidR="00F7664C">
        <w:rPr>
          <w:sz w:val="36"/>
          <w:szCs w:val="36"/>
        </w:rPr>
        <w:t xml:space="preserve">. </w:t>
      </w:r>
    </w:p>
    <w:p w14:paraId="3E5AEB80" w14:textId="77777777" w:rsidR="00F7664C" w:rsidRDefault="00A815A8">
      <w:pPr>
        <w:rPr>
          <w:sz w:val="36"/>
          <w:szCs w:val="36"/>
        </w:rPr>
      </w:pPr>
      <w:r>
        <w:rPr>
          <w:sz w:val="36"/>
          <w:szCs w:val="36"/>
        </w:rPr>
        <w:t xml:space="preserve">Figure 1 </w:t>
      </w:r>
      <w:r w:rsidR="002B34D5">
        <w:rPr>
          <w:sz w:val="36"/>
          <w:szCs w:val="36"/>
        </w:rPr>
        <w:t xml:space="preserve">names and </w:t>
      </w:r>
      <w:r w:rsidR="00583B28">
        <w:rPr>
          <w:sz w:val="36"/>
          <w:szCs w:val="36"/>
        </w:rPr>
        <w:t xml:space="preserve">Figure 2 </w:t>
      </w:r>
      <w:r>
        <w:rPr>
          <w:sz w:val="36"/>
          <w:szCs w:val="36"/>
        </w:rPr>
        <w:t>plots activity levels</w:t>
      </w:r>
      <w:r w:rsidR="00827D15">
        <w:rPr>
          <w:sz w:val="36"/>
          <w:szCs w:val="36"/>
        </w:rPr>
        <w:t>, week by week,</w:t>
      </w:r>
      <w:r>
        <w:rPr>
          <w:sz w:val="36"/>
          <w:szCs w:val="36"/>
        </w:rPr>
        <w:t xml:space="preserve"> in</w:t>
      </w:r>
      <w:r w:rsidR="004736B7">
        <w:rPr>
          <w:sz w:val="36"/>
          <w:szCs w:val="36"/>
        </w:rPr>
        <w:t xml:space="preserve"> eight</w:t>
      </w:r>
      <w:r>
        <w:rPr>
          <w:sz w:val="36"/>
          <w:szCs w:val="36"/>
        </w:rPr>
        <w:t xml:space="preserve"> </w:t>
      </w:r>
      <w:r w:rsidR="00827D15">
        <w:rPr>
          <w:sz w:val="36"/>
          <w:szCs w:val="36"/>
        </w:rPr>
        <w:t xml:space="preserve">of the Fed’s </w:t>
      </w:r>
      <w:r>
        <w:rPr>
          <w:sz w:val="36"/>
          <w:szCs w:val="36"/>
        </w:rPr>
        <w:t xml:space="preserve">operative programs as they have come </w:t>
      </w:r>
      <w:proofErr w:type="gramStart"/>
      <w:r>
        <w:rPr>
          <w:sz w:val="36"/>
          <w:szCs w:val="36"/>
        </w:rPr>
        <w:t>on line</w:t>
      </w:r>
      <w:proofErr w:type="gramEnd"/>
      <w:r>
        <w:rPr>
          <w:sz w:val="36"/>
          <w:szCs w:val="36"/>
        </w:rPr>
        <w:t xml:space="preserve">. </w:t>
      </w:r>
      <w:r w:rsidR="00830EE3">
        <w:rPr>
          <w:sz w:val="36"/>
          <w:szCs w:val="36"/>
        </w:rPr>
        <w:t xml:space="preserve">Who is eligible for these programs and on what terms remains a </w:t>
      </w:r>
      <w:r>
        <w:rPr>
          <w:sz w:val="36"/>
          <w:szCs w:val="36"/>
        </w:rPr>
        <w:t>fluid</w:t>
      </w:r>
      <w:r w:rsidR="00830EE3">
        <w:rPr>
          <w:sz w:val="36"/>
          <w:szCs w:val="36"/>
        </w:rPr>
        <w:t xml:space="preserve"> </w:t>
      </w:r>
      <w:proofErr w:type="gramStart"/>
      <w:r w:rsidR="00830EE3">
        <w:rPr>
          <w:sz w:val="36"/>
          <w:szCs w:val="36"/>
        </w:rPr>
        <w:t>issue.</w:t>
      </w:r>
      <w:proofErr w:type="gramEnd"/>
      <w:r w:rsidR="00830EE3">
        <w:rPr>
          <w:sz w:val="36"/>
          <w:szCs w:val="36"/>
        </w:rPr>
        <w:t xml:space="preserve"> Still, t</w:t>
      </w:r>
      <w:r w:rsidR="00827D15">
        <w:rPr>
          <w:sz w:val="36"/>
          <w:szCs w:val="36"/>
        </w:rPr>
        <w:t>he stock market seems pleased</w:t>
      </w:r>
      <w:r w:rsidR="00F7664C">
        <w:rPr>
          <w:sz w:val="36"/>
          <w:szCs w:val="36"/>
        </w:rPr>
        <w:t xml:space="preserve"> </w:t>
      </w:r>
      <w:r>
        <w:rPr>
          <w:sz w:val="36"/>
          <w:szCs w:val="36"/>
        </w:rPr>
        <w:t xml:space="preserve">not only </w:t>
      </w:r>
      <w:r w:rsidR="00827D15">
        <w:rPr>
          <w:sz w:val="36"/>
          <w:szCs w:val="36"/>
        </w:rPr>
        <w:t>with</w:t>
      </w:r>
      <w:r w:rsidR="00F7664C">
        <w:rPr>
          <w:sz w:val="36"/>
          <w:szCs w:val="36"/>
        </w:rPr>
        <w:t xml:space="preserve"> the programs</w:t>
      </w:r>
      <w:r>
        <w:rPr>
          <w:sz w:val="36"/>
          <w:szCs w:val="36"/>
        </w:rPr>
        <w:t>, but</w:t>
      </w:r>
      <w:r w:rsidR="00F7664C">
        <w:rPr>
          <w:sz w:val="36"/>
          <w:szCs w:val="36"/>
        </w:rPr>
        <w:t xml:space="preserve"> </w:t>
      </w:r>
      <w:r w:rsidR="00827D15">
        <w:rPr>
          <w:sz w:val="36"/>
          <w:szCs w:val="36"/>
        </w:rPr>
        <w:t xml:space="preserve">with </w:t>
      </w:r>
      <w:r w:rsidR="00F7664C">
        <w:rPr>
          <w:sz w:val="36"/>
          <w:szCs w:val="36"/>
        </w:rPr>
        <w:t xml:space="preserve">how the Fed </w:t>
      </w:r>
      <w:r w:rsidR="0009200E">
        <w:rPr>
          <w:sz w:val="36"/>
          <w:szCs w:val="36"/>
        </w:rPr>
        <w:t xml:space="preserve">has </w:t>
      </w:r>
      <w:r w:rsidR="000C5830">
        <w:rPr>
          <w:sz w:val="36"/>
          <w:szCs w:val="36"/>
        </w:rPr>
        <w:t>broadened access to</w:t>
      </w:r>
      <w:r w:rsidR="00F7664C">
        <w:rPr>
          <w:sz w:val="36"/>
          <w:szCs w:val="36"/>
        </w:rPr>
        <w:t xml:space="preserve"> these programs on the fly. </w:t>
      </w:r>
    </w:p>
    <w:p w14:paraId="4109676A" w14:textId="77777777" w:rsidR="003F0F5E" w:rsidRDefault="00583B28">
      <w:pPr>
        <w:rPr>
          <w:sz w:val="36"/>
          <w:szCs w:val="36"/>
        </w:rPr>
      </w:pPr>
      <w:r>
        <w:rPr>
          <w:sz w:val="36"/>
          <w:szCs w:val="36"/>
        </w:rPr>
        <w:t xml:space="preserve">In the face of the unprecedented surge in unemployment shown in Figure 3, </w:t>
      </w:r>
      <w:r w:rsidR="003F0F5E">
        <w:rPr>
          <w:sz w:val="36"/>
          <w:szCs w:val="36"/>
        </w:rPr>
        <w:t xml:space="preserve">Federal Reserve officials have earned points </w:t>
      </w:r>
      <w:r w:rsidR="003D7C94">
        <w:rPr>
          <w:sz w:val="36"/>
          <w:szCs w:val="36"/>
        </w:rPr>
        <w:t xml:space="preserve">for stepping </w:t>
      </w:r>
      <w:r w:rsidR="009F2E8B">
        <w:rPr>
          <w:sz w:val="36"/>
          <w:szCs w:val="36"/>
        </w:rPr>
        <w:t>forward</w:t>
      </w:r>
      <w:r w:rsidR="003D7C94">
        <w:rPr>
          <w:sz w:val="36"/>
          <w:szCs w:val="36"/>
        </w:rPr>
        <w:t xml:space="preserve"> as </w:t>
      </w:r>
      <w:r w:rsidR="009F2E8B">
        <w:rPr>
          <w:sz w:val="36"/>
          <w:szCs w:val="36"/>
        </w:rPr>
        <w:t>perhaps</w:t>
      </w:r>
      <w:r w:rsidR="00A815A8">
        <w:rPr>
          <w:sz w:val="36"/>
          <w:szCs w:val="36"/>
        </w:rPr>
        <w:t xml:space="preserve"> </w:t>
      </w:r>
      <w:r w:rsidR="003D7C94">
        <w:rPr>
          <w:sz w:val="36"/>
          <w:szCs w:val="36"/>
        </w:rPr>
        <w:t xml:space="preserve">the government’s </w:t>
      </w:r>
      <w:r w:rsidR="00BE5BC3">
        <w:rPr>
          <w:sz w:val="36"/>
          <w:szCs w:val="36"/>
        </w:rPr>
        <w:t>premier</w:t>
      </w:r>
      <w:r w:rsidR="009F2E8B">
        <w:rPr>
          <w:sz w:val="36"/>
          <w:szCs w:val="36"/>
        </w:rPr>
        <w:t xml:space="preserve"> and </w:t>
      </w:r>
      <w:r w:rsidR="003D7C94">
        <w:rPr>
          <w:sz w:val="36"/>
          <w:szCs w:val="36"/>
        </w:rPr>
        <w:t xml:space="preserve">most </w:t>
      </w:r>
      <w:r w:rsidR="00B4345C">
        <w:rPr>
          <w:sz w:val="36"/>
          <w:szCs w:val="36"/>
        </w:rPr>
        <w:t xml:space="preserve">agile </w:t>
      </w:r>
      <w:r>
        <w:rPr>
          <w:sz w:val="36"/>
          <w:szCs w:val="36"/>
        </w:rPr>
        <w:t xml:space="preserve">economic </w:t>
      </w:r>
      <w:r w:rsidR="00AB3940">
        <w:rPr>
          <w:sz w:val="36"/>
          <w:szCs w:val="36"/>
        </w:rPr>
        <w:t xml:space="preserve">firefighters. </w:t>
      </w:r>
      <w:r w:rsidR="009F2E8B">
        <w:rPr>
          <w:sz w:val="36"/>
          <w:szCs w:val="36"/>
        </w:rPr>
        <w:t>Using their limited policy toolkit,</w:t>
      </w:r>
      <w:r w:rsidR="003D7C94">
        <w:rPr>
          <w:sz w:val="36"/>
          <w:szCs w:val="36"/>
        </w:rPr>
        <w:t xml:space="preserve"> </w:t>
      </w:r>
      <w:r w:rsidR="009F2E8B">
        <w:rPr>
          <w:sz w:val="36"/>
          <w:szCs w:val="36"/>
        </w:rPr>
        <w:t xml:space="preserve">they </w:t>
      </w:r>
      <w:r w:rsidR="00827D15">
        <w:rPr>
          <w:sz w:val="36"/>
          <w:szCs w:val="36"/>
        </w:rPr>
        <w:t xml:space="preserve">have </w:t>
      </w:r>
      <w:r w:rsidR="009F2E8B">
        <w:rPr>
          <w:sz w:val="36"/>
          <w:szCs w:val="36"/>
        </w:rPr>
        <w:t xml:space="preserve">enhanced the flow of credit </w:t>
      </w:r>
      <w:r w:rsidR="004736B7">
        <w:rPr>
          <w:sz w:val="36"/>
          <w:szCs w:val="36"/>
        </w:rPr>
        <w:t xml:space="preserve">and liquidity </w:t>
      </w:r>
      <w:r w:rsidR="009F2E8B">
        <w:rPr>
          <w:sz w:val="36"/>
          <w:szCs w:val="36"/>
        </w:rPr>
        <w:t xml:space="preserve">to </w:t>
      </w:r>
      <w:r w:rsidR="00827D15">
        <w:rPr>
          <w:sz w:val="36"/>
          <w:szCs w:val="36"/>
        </w:rPr>
        <w:lastRenderedPageBreak/>
        <w:t xml:space="preserve">some of the </w:t>
      </w:r>
      <w:r w:rsidR="000C5830">
        <w:rPr>
          <w:sz w:val="36"/>
          <w:szCs w:val="36"/>
        </w:rPr>
        <w:t>markets and borrowers</w:t>
      </w:r>
      <w:r w:rsidR="009F2E8B">
        <w:rPr>
          <w:sz w:val="36"/>
          <w:szCs w:val="36"/>
        </w:rPr>
        <w:t xml:space="preserve"> that figured to be greatly impacted by the unfolding economic catastrophe. And they did this</w:t>
      </w:r>
      <w:r w:rsidR="003E12DA">
        <w:rPr>
          <w:sz w:val="36"/>
          <w:szCs w:val="36"/>
        </w:rPr>
        <w:t xml:space="preserve"> </w:t>
      </w:r>
      <w:r w:rsidR="000D3894">
        <w:rPr>
          <w:sz w:val="36"/>
          <w:szCs w:val="36"/>
        </w:rPr>
        <w:t>at a time</w:t>
      </w:r>
      <w:r w:rsidR="003F0F5E">
        <w:rPr>
          <w:sz w:val="36"/>
          <w:szCs w:val="36"/>
        </w:rPr>
        <w:t xml:space="preserve"> when </w:t>
      </w:r>
      <w:r w:rsidR="00A815A8">
        <w:rPr>
          <w:sz w:val="36"/>
          <w:szCs w:val="36"/>
        </w:rPr>
        <w:t>Congress and the Executive branches of</w:t>
      </w:r>
      <w:r w:rsidR="003F0F5E">
        <w:rPr>
          <w:sz w:val="36"/>
          <w:szCs w:val="36"/>
        </w:rPr>
        <w:t xml:space="preserve"> the </w:t>
      </w:r>
      <w:r w:rsidR="00A815A8">
        <w:rPr>
          <w:sz w:val="36"/>
          <w:szCs w:val="36"/>
        </w:rPr>
        <w:t xml:space="preserve">federal </w:t>
      </w:r>
      <w:r w:rsidR="003F0F5E">
        <w:rPr>
          <w:sz w:val="36"/>
          <w:szCs w:val="36"/>
        </w:rPr>
        <w:t xml:space="preserve">government </w:t>
      </w:r>
      <w:r w:rsidR="00B4345C">
        <w:rPr>
          <w:sz w:val="36"/>
          <w:szCs w:val="36"/>
        </w:rPr>
        <w:t>took a few weeks</w:t>
      </w:r>
      <w:r w:rsidR="00A815A8">
        <w:rPr>
          <w:sz w:val="36"/>
          <w:szCs w:val="36"/>
        </w:rPr>
        <w:t xml:space="preserve"> to figure out </w:t>
      </w:r>
      <w:r w:rsidR="00B4345C">
        <w:rPr>
          <w:sz w:val="36"/>
          <w:szCs w:val="36"/>
        </w:rPr>
        <w:t>how to channel taxpayer subsidies to lucky firms through the Treasury and the Fed.</w:t>
      </w:r>
    </w:p>
    <w:p w14:paraId="20D12626" w14:textId="77777777" w:rsidR="00F7664C" w:rsidRDefault="00AB3940">
      <w:pPr>
        <w:rPr>
          <w:sz w:val="36"/>
          <w:szCs w:val="36"/>
        </w:rPr>
      </w:pPr>
      <w:r>
        <w:rPr>
          <w:sz w:val="36"/>
          <w:szCs w:val="36"/>
        </w:rPr>
        <w:t>But no</w:t>
      </w:r>
      <w:r w:rsidR="0009200E">
        <w:rPr>
          <w:sz w:val="36"/>
          <w:szCs w:val="36"/>
        </w:rPr>
        <w:t xml:space="preserve"> matter </w:t>
      </w:r>
      <w:r w:rsidR="00F7664C">
        <w:rPr>
          <w:sz w:val="36"/>
          <w:szCs w:val="36"/>
        </w:rPr>
        <w:t>how well</w:t>
      </w:r>
      <w:r w:rsidR="000D3894">
        <w:rPr>
          <w:sz w:val="36"/>
          <w:szCs w:val="36"/>
        </w:rPr>
        <w:t>-</w:t>
      </w:r>
      <w:r w:rsidR="00F7664C">
        <w:rPr>
          <w:sz w:val="36"/>
          <w:szCs w:val="36"/>
        </w:rPr>
        <w:t>intended</w:t>
      </w:r>
      <w:r w:rsidR="0009200E">
        <w:rPr>
          <w:sz w:val="36"/>
          <w:szCs w:val="36"/>
        </w:rPr>
        <w:t xml:space="preserve"> </w:t>
      </w:r>
      <w:r w:rsidRPr="004736B7">
        <w:rPr>
          <w:i/>
          <w:sz w:val="36"/>
          <w:szCs w:val="36"/>
        </w:rPr>
        <w:t>ad hoc</w:t>
      </w:r>
      <w:r>
        <w:rPr>
          <w:sz w:val="36"/>
          <w:szCs w:val="36"/>
        </w:rPr>
        <w:t xml:space="preserve"> </w:t>
      </w:r>
      <w:r w:rsidR="000D3894">
        <w:rPr>
          <w:sz w:val="36"/>
          <w:szCs w:val="36"/>
        </w:rPr>
        <w:t xml:space="preserve">credit </w:t>
      </w:r>
      <w:r>
        <w:rPr>
          <w:sz w:val="36"/>
          <w:szCs w:val="36"/>
        </w:rPr>
        <w:t xml:space="preserve">programs </w:t>
      </w:r>
      <w:r w:rsidR="0009200E">
        <w:rPr>
          <w:sz w:val="36"/>
          <w:szCs w:val="36"/>
        </w:rPr>
        <w:t>may seem at their start</w:t>
      </w:r>
      <w:r w:rsidR="00F7664C">
        <w:rPr>
          <w:sz w:val="36"/>
          <w:szCs w:val="36"/>
        </w:rPr>
        <w:t xml:space="preserve">, </w:t>
      </w:r>
      <w:r>
        <w:rPr>
          <w:sz w:val="36"/>
          <w:szCs w:val="36"/>
        </w:rPr>
        <w:t xml:space="preserve">history tells us that </w:t>
      </w:r>
      <w:r w:rsidR="00F7664C">
        <w:rPr>
          <w:sz w:val="36"/>
          <w:szCs w:val="36"/>
        </w:rPr>
        <w:t xml:space="preserve">efforts at government credit allocation </w:t>
      </w:r>
      <w:r w:rsidR="00A815A8">
        <w:rPr>
          <w:sz w:val="36"/>
          <w:szCs w:val="36"/>
        </w:rPr>
        <w:t>tend to unravel as time goes on</w:t>
      </w:r>
      <w:r w:rsidR="00F7664C">
        <w:rPr>
          <w:sz w:val="36"/>
          <w:szCs w:val="36"/>
        </w:rPr>
        <w:t>.</w:t>
      </w:r>
      <w:r w:rsidR="0009200E">
        <w:rPr>
          <w:sz w:val="36"/>
          <w:szCs w:val="36"/>
        </w:rPr>
        <w:t xml:space="preserve"> </w:t>
      </w:r>
      <w:r w:rsidR="00A815A8">
        <w:rPr>
          <w:sz w:val="36"/>
          <w:szCs w:val="36"/>
        </w:rPr>
        <w:t xml:space="preserve">Although </w:t>
      </w:r>
      <w:r w:rsidR="004736B7">
        <w:rPr>
          <w:sz w:val="36"/>
          <w:szCs w:val="36"/>
        </w:rPr>
        <w:t xml:space="preserve">one </w:t>
      </w:r>
      <w:r w:rsidR="00A815A8">
        <w:rPr>
          <w:sz w:val="36"/>
          <w:szCs w:val="36"/>
        </w:rPr>
        <w:t>could</w:t>
      </w:r>
      <w:r w:rsidR="0009200E">
        <w:rPr>
          <w:sz w:val="36"/>
          <w:szCs w:val="36"/>
        </w:rPr>
        <w:t xml:space="preserve"> cite example after example of this </w:t>
      </w:r>
      <w:r w:rsidR="000D3894">
        <w:rPr>
          <w:sz w:val="36"/>
          <w:szCs w:val="36"/>
        </w:rPr>
        <w:t>deterioration</w:t>
      </w:r>
      <w:r w:rsidR="00A815A8">
        <w:rPr>
          <w:sz w:val="36"/>
          <w:szCs w:val="36"/>
        </w:rPr>
        <w:t>,</w:t>
      </w:r>
      <w:r w:rsidR="009F2E8B">
        <w:rPr>
          <w:sz w:val="36"/>
          <w:szCs w:val="36"/>
        </w:rPr>
        <w:t xml:space="preserve"> i</w:t>
      </w:r>
      <w:r w:rsidR="000D3894">
        <w:rPr>
          <w:sz w:val="36"/>
          <w:szCs w:val="36"/>
        </w:rPr>
        <w:t>t</w:t>
      </w:r>
      <w:r w:rsidR="0009200E">
        <w:rPr>
          <w:sz w:val="36"/>
          <w:szCs w:val="36"/>
        </w:rPr>
        <w:t xml:space="preserve"> </w:t>
      </w:r>
      <w:r w:rsidR="009F2E8B">
        <w:rPr>
          <w:sz w:val="36"/>
          <w:szCs w:val="36"/>
        </w:rPr>
        <w:t xml:space="preserve">should be enough to point to the repeated hash </w:t>
      </w:r>
      <w:r w:rsidR="00827D15">
        <w:rPr>
          <w:sz w:val="36"/>
          <w:szCs w:val="36"/>
        </w:rPr>
        <w:t xml:space="preserve">that has been made </w:t>
      </w:r>
      <w:r w:rsidR="009F2E8B">
        <w:rPr>
          <w:sz w:val="36"/>
          <w:szCs w:val="36"/>
        </w:rPr>
        <w:t xml:space="preserve">of programs aimed </w:t>
      </w:r>
      <w:r w:rsidR="004916BA">
        <w:rPr>
          <w:sz w:val="36"/>
          <w:szCs w:val="36"/>
        </w:rPr>
        <w:t>at subsidizing home</w:t>
      </w:r>
      <w:r w:rsidR="004736B7">
        <w:rPr>
          <w:sz w:val="36"/>
          <w:szCs w:val="36"/>
        </w:rPr>
        <w:t xml:space="preserve">ownership. The </w:t>
      </w:r>
      <w:r w:rsidR="004916BA">
        <w:rPr>
          <w:sz w:val="36"/>
          <w:szCs w:val="36"/>
        </w:rPr>
        <w:t xml:space="preserve">repeated </w:t>
      </w:r>
      <w:r w:rsidR="004736B7">
        <w:rPr>
          <w:sz w:val="36"/>
          <w:szCs w:val="36"/>
        </w:rPr>
        <w:t xml:space="preserve">failure of </w:t>
      </w:r>
      <w:r w:rsidR="004916BA">
        <w:rPr>
          <w:sz w:val="36"/>
          <w:szCs w:val="36"/>
        </w:rPr>
        <w:t>housing-finance</w:t>
      </w:r>
      <w:r w:rsidR="004736B7">
        <w:rPr>
          <w:sz w:val="36"/>
          <w:szCs w:val="36"/>
        </w:rPr>
        <w:t xml:space="preserve"> programs is </w:t>
      </w:r>
      <w:r w:rsidR="0009200E">
        <w:rPr>
          <w:sz w:val="36"/>
          <w:szCs w:val="36"/>
        </w:rPr>
        <w:t>rooted in</w:t>
      </w:r>
      <w:r w:rsidR="000D3894">
        <w:rPr>
          <w:sz w:val="36"/>
          <w:szCs w:val="36"/>
        </w:rPr>
        <w:t xml:space="preserve"> the</w:t>
      </w:r>
      <w:r w:rsidR="0009200E">
        <w:rPr>
          <w:sz w:val="36"/>
          <w:szCs w:val="36"/>
        </w:rPr>
        <w:t xml:space="preserve"> </w:t>
      </w:r>
      <w:r w:rsidR="003F0F5E">
        <w:rPr>
          <w:sz w:val="36"/>
          <w:szCs w:val="36"/>
        </w:rPr>
        <w:t xml:space="preserve">incentive </w:t>
      </w:r>
      <w:r>
        <w:rPr>
          <w:sz w:val="36"/>
          <w:szCs w:val="36"/>
        </w:rPr>
        <w:t xml:space="preserve">conflicts that </w:t>
      </w:r>
      <w:r w:rsidR="000322EA">
        <w:rPr>
          <w:sz w:val="36"/>
          <w:szCs w:val="36"/>
        </w:rPr>
        <w:t>develop on</w:t>
      </w:r>
      <w:r w:rsidR="003F0F5E">
        <w:rPr>
          <w:sz w:val="36"/>
          <w:szCs w:val="36"/>
        </w:rPr>
        <w:t xml:space="preserve"> both sides of any subsidy scheme. On the supply side, it </w:t>
      </w:r>
      <w:r w:rsidR="000322EA">
        <w:rPr>
          <w:sz w:val="36"/>
          <w:szCs w:val="36"/>
        </w:rPr>
        <w:t>becomes more and more</w:t>
      </w:r>
      <w:r w:rsidR="003F0F5E">
        <w:rPr>
          <w:sz w:val="36"/>
          <w:szCs w:val="36"/>
        </w:rPr>
        <w:t xml:space="preserve"> difficult to monitor and restrain </w:t>
      </w:r>
      <w:r w:rsidR="00A06176">
        <w:rPr>
          <w:sz w:val="36"/>
          <w:szCs w:val="36"/>
        </w:rPr>
        <w:t>the ways in which</w:t>
      </w:r>
      <w:r w:rsidR="003F0F5E">
        <w:rPr>
          <w:sz w:val="36"/>
          <w:szCs w:val="36"/>
        </w:rPr>
        <w:t xml:space="preserve"> </w:t>
      </w:r>
      <w:r>
        <w:rPr>
          <w:sz w:val="36"/>
          <w:szCs w:val="36"/>
        </w:rPr>
        <w:t xml:space="preserve">agency </w:t>
      </w:r>
      <w:r w:rsidR="003F0F5E">
        <w:rPr>
          <w:sz w:val="36"/>
          <w:szCs w:val="36"/>
        </w:rPr>
        <w:t xml:space="preserve">personnel respond to industry </w:t>
      </w:r>
      <w:r w:rsidR="00A06176">
        <w:rPr>
          <w:sz w:val="36"/>
          <w:szCs w:val="36"/>
        </w:rPr>
        <w:t xml:space="preserve">and Congressional </w:t>
      </w:r>
      <w:r w:rsidR="003F0F5E">
        <w:rPr>
          <w:sz w:val="36"/>
          <w:szCs w:val="36"/>
        </w:rPr>
        <w:t>pressure</w:t>
      </w:r>
      <w:r w:rsidR="00E30041">
        <w:rPr>
          <w:sz w:val="36"/>
          <w:szCs w:val="36"/>
        </w:rPr>
        <w:t xml:space="preserve"> to expand subsidies</w:t>
      </w:r>
      <w:r w:rsidR="003F0F5E">
        <w:rPr>
          <w:sz w:val="36"/>
          <w:szCs w:val="36"/>
        </w:rPr>
        <w:t xml:space="preserve">. </w:t>
      </w:r>
      <w:r w:rsidR="000D3894">
        <w:rPr>
          <w:sz w:val="36"/>
          <w:szCs w:val="36"/>
        </w:rPr>
        <w:t xml:space="preserve"> </w:t>
      </w:r>
      <w:r w:rsidR="003F0F5E">
        <w:rPr>
          <w:sz w:val="36"/>
          <w:szCs w:val="36"/>
        </w:rPr>
        <w:t>On the demand side,</w:t>
      </w:r>
      <w:r w:rsidR="000322EA">
        <w:rPr>
          <w:sz w:val="36"/>
          <w:szCs w:val="36"/>
        </w:rPr>
        <w:t xml:space="preserve"> participants </w:t>
      </w:r>
      <w:r w:rsidR="00E30041">
        <w:rPr>
          <w:sz w:val="36"/>
          <w:szCs w:val="36"/>
        </w:rPr>
        <w:t xml:space="preserve">learn to exploit two ways to </w:t>
      </w:r>
      <w:r w:rsidR="00B4345C">
        <w:rPr>
          <w:sz w:val="36"/>
          <w:szCs w:val="36"/>
        </w:rPr>
        <w:t xml:space="preserve">increase </w:t>
      </w:r>
      <w:r w:rsidR="00E30041">
        <w:rPr>
          <w:sz w:val="36"/>
          <w:szCs w:val="36"/>
        </w:rPr>
        <w:t>their access to subsidies.</w:t>
      </w:r>
      <w:r w:rsidR="00845915">
        <w:rPr>
          <w:sz w:val="36"/>
          <w:szCs w:val="36"/>
        </w:rPr>
        <w:t xml:space="preserve"> First, they learn how and how far they can influence individual regulators</w:t>
      </w:r>
      <w:r w:rsidR="00807712">
        <w:rPr>
          <w:sz w:val="36"/>
          <w:szCs w:val="36"/>
        </w:rPr>
        <w:t xml:space="preserve"> on different issues</w:t>
      </w:r>
      <w:r w:rsidR="00845915">
        <w:rPr>
          <w:sz w:val="36"/>
          <w:szCs w:val="36"/>
        </w:rPr>
        <w:t xml:space="preserve">. Second, </w:t>
      </w:r>
      <w:r w:rsidR="00807712">
        <w:rPr>
          <w:sz w:val="36"/>
          <w:szCs w:val="36"/>
        </w:rPr>
        <w:t xml:space="preserve">they learn ways </w:t>
      </w:r>
      <w:r w:rsidR="00845915">
        <w:rPr>
          <w:sz w:val="36"/>
          <w:szCs w:val="36"/>
        </w:rPr>
        <w:t xml:space="preserve">to make sure </w:t>
      </w:r>
      <w:r w:rsidR="00807712">
        <w:rPr>
          <w:sz w:val="36"/>
          <w:szCs w:val="36"/>
        </w:rPr>
        <w:t xml:space="preserve">that </w:t>
      </w:r>
      <w:r w:rsidR="00827D15">
        <w:rPr>
          <w:sz w:val="36"/>
          <w:szCs w:val="36"/>
        </w:rPr>
        <w:t xml:space="preserve">the benefits </w:t>
      </w:r>
      <w:r w:rsidR="00845915">
        <w:rPr>
          <w:sz w:val="36"/>
          <w:szCs w:val="36"/>
        </w:rPr>
        <w:t xml:space="preserve">that captured regulators </w:t>
      </w:r>
      <w:r w:rsidR="00807712">
        <w:rPr>
          <w:sz w:val="36"/>
          <w:szCs w:val="36"/>
        </w:rPr>
        <w:t xml:space="preserve">and legislators </w:t>
      </w:r>
      <w:r w:rsidR="00845915">
        <w:rPr>
          <w:sz w:val="36"/>
          <w:szCs w:val="36"/>
        </w:rPr>
        <w:t>deliver</w:t>
      </w:r>
      <w:r w:rsidR="003F0F5E">
        <w:rPr>
          <w:sz w:val="36"/>
          <w:szCs w:val="36"/>
        </w:rPr>
        <w:t xml:space="preserve"> far exceed the costs of building and exercising </w:t>
      </w:r>
      <w:r w:rsidR="000D3894">
        <w:rPr>
          <w:sz w:val="36"/>
          <w:szCs w:val="36"/>
        </w:rPr>
        <w:t xml:space="preserve">the necessary </w:t>
      </w:r>
      <w:r w:rsidR="003F0F5E">
        <w:rPr>
          <w:sz w:val="36"/>
          <w:szCs w:val="36"/>
        </w:rPr>
        <w:t>clout</w:t>
      </w:r>
      <w:r w:rsidR="0009200E">
        <w:rPr>
          <w:sz w:val="36"/>
          <w:szCs w:val="36"/>
        </w:rPr>
        <w:t>.</w:t>
      </w:r>
      <w:r w:rsidR="004736B7">
        <w:rPr>
          <w:sz w:val="36"/>
          <w:szCs w:val="36"/>
        </w:rPr>
        <w:t xml:space="preserve"> The steady rollback of Dodd-Frank reforms </w:t>
      </w:r>
      <w:r w:rsidR="00827D15">
        <w:rPr>
          <w:sz w:val="36"/>
          <w:szCs w:val="36"/>
        </w:rPr>
        <w:t xml:space="preserve">over </w:t>
      </w:r>
      <w:r w:rsidR="004736B7">
        <w:rPr>
          <w:sz w:val="36"/>
          <w:szCs w:val="36"/>
        </w:rPr>
        <w:t xml:space="preserve">the </w:t>
      </w:r>
      <w:r w:rsidR="00827D15">
        <w:rPr>
          <w:sz w:val="36"/>
          <w:szCs w:val="36"/>
        </w:rPr>
        <w:t xml:space="preserve">last </w:t>
      </w:r>
      <w:r w:rsidR="004736B7">
        <w:rPr>
          <w:sz w:val="36"/>
          <w:szCs w:val="36"/>
        </w:rPr>
        <w:t xml:space="preserve">decade vividly illustrates </w:t>
      </w:r>
      <w:r w:rsidR="00807712">
        <w:rPr>
          <w:sz w:val="36"/>
          <w:szCs w:val="36"/>
        </w:rPr>
        <w:t xml:space="preserve">the workings of </w:t>
      </w:r>
      <w:r w:rsidR="004736B7">
        <w:rPr>
          <w:sz w:val="36"/>
          <w:szCs w:val="36"/>
        </w:rPr>
        <w:t xml:space="preserve">this </w:t>
      </w:r>
      <w:r w:rsidR="00807712">
        <w:rPr>
          <w:sz w:val="36"/>
          <w:szCs w:val="36"/>
        </w:rPr>
        <w:t xml:space="preserve">inch-by-inch </w:t>
      </w:r>
      <w:r w:rsidR="004736B7">
        <w:rPr>
          <w:sz w:val="36"/>
          <w:szCs w:val="36"/>
        </w:rPr>
        <w:t>process.</w:t>
      </w:r>
    </w:p>
    <w:p w14:paraId="12B15514" w14:textId="370EB49B" w:rsidR="00265817" w:rsidRDefault="00AB3940">
      <w:pPr>
        <w:rPr>
          <w:sz w:val="36"/>
          <w:szCs w:val="36"/>
        </w:rPr>
      </w:pPr>
      <w:r>
        <w:rPr>
          <w:sz w:val="36"/>
          <w:szCs w:val="36"/>
        </w:rPr>
        <w:lastRenderedPageBreak/>
        <w:t>At the moment, it is easy to ignore t</w:t>
      </w:r>
      <w:r w:rsidR="009B0845">
        <w:rPr>
          <w:sz w:val="36"/>
          <w:szCs w:val="36"/>
        </w:rPr>
        <w:t xml:space="preserve">his </w:t>
      </w:r>
      <w:r w:rsidR="0009200E">
        <w:rPr>
          <w:sz w:val="36"/>
          <w:szCs w:val="36"/>
        </w:rPr>
        <w:t xml:space="preserve">and other </w:t>
      </w:r>
      <w:r w:rsidR="00265817">
        <w:rPr>
          <w:sz w:val="36"/>
          <w:szCs w:val="36"/>
        </w:rPr>
        <w:t xml:space="preserve">subtle </w:t>
      </w:r>
      <w:r>
        <w:rPr>
          <w:sz w:val="36"/>
          <w:szCs w:val="36"/>
        </w:rPr>
        <w:t>element</w:t>
      </w:r>
      <w:r w:rsidR="0009200E">
        <w:rPr>
          <w:sz w:val="36"/>
          <w:szCs w:val="36"/>
        </w:rPr>
        <w:t>s of</w:t>
      </w:r>
      <w:r w:rsidR="00C845AC">
        <w:rPr>
          <w:sz w:val="36"/>
          <w:szCs w:val="36"/>
        </w:rPr>
        <w:t xml:space="preserve"> </w:t>
      </w:r>
      <w:r w:rsidR="00B4345C">
        <w:rPr>
          <w:sz w:val="36"/>
          <w:szCs w:val="36"/>
        </w:rPr>
        <w:t xml:space="preserve">what is </w:t>
      </w:r>
      <w:r w:rsidR="00C845AC">
        <w:rPr>
          <w:sz w:val="36"/>
          <w:szCs w:val="36"/>
        </w:rPr>
        <w:t>bad news</w:t>
      </w:r>
      <w:r w:rsidR="00E30041">
        <w:rPr>
          <w:sz w:val="36"/>
          <w:szCs w:val="36"/>
        </w:rPr>
        <w:t xml:space="preserve"> </w:t>
      </w:r>
      <w:r w:rsidR="00B4345C">
        <w:rPr>
          <w:sz w:val="36"/>
          <w:szCs w:val="36"/>
        </w:rPr>
        <w:t>for</w:t>
      </w:r>
      <w:r w:rsidR="00E30041">
        <w:rPr>
          <w:sz w:val="36"/>
          <w:szCs w:val="36"/>
        </w:rPr>
        <w:t xml:space="preserve"> the longer run</w:t>
      </w:r>
      <w:r w:rsidR="0009200E">
        <w:rPr>
          <w:sz w:val="36"/>
          <w:szCs w:val="36"/>
        </w:rPr>
        <w:t>.</w:t>
      </w:r>
      <w:r w:rsidR="00BC2983">
        <w:rPr>
          <w:sz w:val="36"/>
          <w:szCs w:val="36"/>
        </w:rPr>
        <w:t xml:space="preserve"> </w:t>
      </w:r>
      <w:r w:rsidR="0009200E">
        <w:rPr>
          <w:sz w:val="36"/>
          <w:szCs w:val="36"/>
        </w:rPr>
        <w:t>For example,</w:t>
      </w:r>
      <w:r>
        <w:rPr>
          <w:sz w:val="36"/>
          <w:szCs w:val="36"/>
        </w:rPr>
        <w:t xml:space="preserve"> no one wants to hear each day that</w:t>
      </w:r>
      <w:r w:rsidR="00C845AC">
        <w:rPr>
          <w:sz w:val="36"/>
          <w:szCs w:val="36"/>
        </w:rPr>
        <w:t xml:space="preserve"> the</w:t>
      </w:r>
      <w:r w:rsidR="009B0845">
        <w:rPr>
          <w:sz w:val="36"/>
          <w:szCs w:val="36"/>
        </w:rPr>
        <w:t xml:space="preserve"> number of infections</w:t>
      </w:r>
      <w:r w:rsidR="004736B7">
        <w:rPr>
          <w:sz w:val="36"/>
          <w:szCs w:val="36"/>
        </w:rPr>
        <w:t xml:space="preserve"> and deaths</w:t>
      </w:r>
      <w:r w:rsidR="009B0845">
        <w:rPr>
          <w:sz w:val="36"/>
          <w:szCs w:val="36"/>
        </w:rPr>
        <w:t xml:space="preserve"> </w:t>
      </w:r>
      <w:r w:rsidR="00C845AC">
        <w:rPr>
          <w:sz w:val="36"/>
          <w:szCs w:val="36"/>
        </w:rPr>
        <w:t>in the US continues to lead</w:t>
      </w:r>
      <w:r w:rsidR="0009200E">
        <w:rPr>
          <w:sz w:val="36"/>
          <w:szCs w:val="36"/>
        </w:rPr>
        <w:t xml:space="preserve"> the world. </w:t>
      </w:r>
      <w:r w:rsidR="004916BA">
        <w:rPr>
          <w:sz w:val="36"/>
          <w:szCs w:val="36"/>
        </w:rPr>
        <w:t xml:space="preserve"> </w:t>
      </w:r>
      <w:r w:rsidR="00265817">
        <w:rPr>
          <w:sz w:val="36"/>
          <w:szCs w:val="36"/>
        </w:rPr>
        <w:t xml:space="preserve">States such as Florida and Arizona whose governors prematurely reopened their economies are </w:t>
      </w:r>
      <w:r w:rsidR="004736B7">
        <w:rPr>
          <w:sz w:val="36"/>
          <w:szCs w:val="36"/>
        </w:rPr>
        <w:t>setting records for</w:t>
      </w:r>
      <w:r w:rsidR="00265817">
        <w:rPr>
          <w:sz w:val="36"/>
          <w:szCs w:val="36"/>
        </w:rPr>
        <w:t xml:space="preserve"> new infections</w:t>
      </w:r>
      <w:r w:rsidR="004736B7">
        <w:rPr>
          <w:sz w:val="36"/>
          <w:szCs w:val="36"/>
        </w:rPr>
        <w:t xml:space="preserve"> every day</w:t>
      </w:r>
      <w:r w:rsidR="00265817">
        <w:rPr>
          <w:sz w:val="36"/>
          <w:szCs w:val="36"/>
        </w:rPr>
        <w:t xml:space="preserve">. </w:t>
      </w:r>
      <w:r w:rsidR="0009200E">
        <w:rPr>
          <w:sz w:val="36"/>
          <w:szCs w:val="36"/>
        </w:rPr>
        <w:t>Second</w:t>
      </w:r>
      <w:r w:rsidR="004736B7">
        <w:rPr>
          <w:sz w:val="36"/>
          <w:szCs w:val="36"/>
        </w:rPr>
        <w:t>,</w:t>
      </w:r>
      <w:r w:rsidR="00265817">
        <w:rPr>
          <w:sz w:val="36"/>
          <w:szCs w:val="36"/>
        </w:rPr>
        <w:t xml:space="preserve"> </w:t>
      </w:r>
      <w:r w:rsidR="0009200E">
        <w:rPr>
          <w:sz w:val="36"/>
          <w:szCs w:val="36"/>
        </w:rPr>
        <w:t xml:space="preserve">statistics on retail sales (shown in Figure </w:t>
      </w:r>
      <w:r w:rsidR="00FA400E">
        <w:rPr>
          <w:sz w:val="36"/>
          <w:szCs w:val="36"/>
        </w:rPr>
        <w:t>4</w:t>
      </w:r>
      <w:r w:rsidR="0009200E">
        <w:rPr>
          <w:sz w:val="36"/>
          <w:szCs w:val="36"/>
        </w:rPr>
        <w:t xml:space="preserve">) </w:t>
      </w:r>
      <w:r w:rsidR="00265817">
        <w:rPr>
          <w:sz w:val="36"/>
          <w:szCs w:val="36"/>
        </w:rPr>
        <w:t xml:space="preserve">show us </w:t>
      </w:r>
      <w:r w:rsidR="00BC2983">
        <w:rPr>
          <w:sz w:val="36"/>
          <w:szCs w:val="36"/>
        </w:rPr>
        <w:t xml:space="preserve">how citizens are </w:t>
      </w:r>
      <w:r w:rsidR="00265817">
        <w:rPr>
          <w:sz w:val="36"/>
          <w:szCs w:val="36"/>
        </w:rPr>
        <w:t xml:space="preserve">responding </w:t>
      </w:r>
      <w:r w:rsidR="00BC2983">
        <w:rPr>
          <w:sz w:val="36"/>
          <w:szCs w:val="36"/>
        </w:rPr>
        <w:t xml:space="preserve">to the social-distancing movement. They </w:t>
      </w:r>
      <w:r>
        <w:rPr>
          <w:sz w:val="36"/>
          <w:szCs w:val="36"/>
        </w:rPr>
        <w:t xml:space="preserve">tell us that </w:t>
      </w:r>
      <w:r w:rsidR="00B4345C">
        <w:rPr>
          <w:sz w:val="36"/>
          <w:szCs w:val="36"/>
        </w:rPr>
        <w:t xml:space="preserve">many </w:t>
      </w:r>
      <w:r>
        <w:rPr>
          <w:sz w:val="36"/>
          <w:szCs w:val="36"/>
        </w:rPr>
        <w:t xml:space="preserve">citizens are </w:t>
      </w:r>
      <w:r w:rsidR="00BC2983">
        <w:rPr>
          <w:sz w:val="36"/>
          <w:szCs w:val="36"/>
        </w:rPr>
        <w:t xml:space="preserve">drinking more, eating at home more, and doing more of their </w:t>
      </w:r>
      <w:r w:rsidR="00FA400E">
        <w:rPr>
          <w:sz w:val="36"/>
          <w:szCs w:val="36"/>
        </w:rPr>
        <w:t>purchasing</w:t>
      </w:r>
      <w:r w:rsidR="00BC2983">
        <w:rPr>
          <w:sz w:val="36"/>
          <w:szCs w:val="36"/>
        </w:rPr>
        <w:t xml:space="preserve"> online.</w:t>
      </w:r>
    </w:p>
    <w:p w14:paraId="38198881" w14:textId="77777777" w:rsidR="00E77620" w:rsidRDefault="00E77620">
      <w:pPr>
        <w:rPr>
          <w:sz w:val="36"/>
          <w:szCs w:val="36"/>
        </w:rPr>
      </w:pPr>
      <w:r>
        <w:rPr>
          <w:sz w:val="36"/>
          <w:szCs w:val="36"/>
        </w:rPr>
        <w:t xml:space="preserve">When the pandemic is over, </w:t>
      </w:r>
      <w:r w:rsidR="00400ECB">
        <w:rPr>
          <w:sz w:val="36"/>
          <w:szCs w:val="36"/>
        </w:rPr>
        <w:t>our country’s industrial geography is going to look considerably different</w:t>
      </w:r>
      <w:r w:rsidR="004916BA">
        <w:rPr>
          <w:sz w:val="36"/>
          <w:szCs w:val="36"/>
        </w:rPr>
        <w:t xml:space="preserve"> than it did a year ago</w:t>
      </w:r>
      <w:r w:rsidR="00400ECB">
        <w:rPr>
          <w:sz w:val="36"/>
          <w:szCs w:val="36"/>
        </w:rPr>
        <w:t xml:space="preserve">. Workers and capital equipment will find themselves in new locations and </w:t>
      </w:r>
      <w:r w:rsidR="004916BA">
        <w:rPr>
          <w:sz w:val="36"/>
          <w:szCs w:val="36"/>
        </w:rPr>
        <w:t xml:space="preserve">exercising new </w:t>
      </w:r>
      <w:r w:rsidR="00400ECB">
        <w:rPr>
          <w:sz w:val="36"/>
          <w:szCs w:val="36"/>
        </w:rPr>
        <w:t>functions. F</w:t>
      </w:r>
      <w:r>
        <w:rPr>
          <w:sz w:val="36"/>
          <w:szCs w:val="36"/>
        </w:rPr>
        <w:t xml:space="preserve">irms that need to monitor worker input as well as worker output or that need to staff a production line will bring </w:t>
      </w:r>
      <w:r w:rsidR="00400ECB">
        <w:rPr>
          <w:sz w:val="36"/>
          <w:szCs w:val="36"/>
        </w:rPr>
        <w:t xml:space="preserve">a good part of </w:t>
      </w:r>
      <w:r>
        <w:rPr>
          <w:sz w:val="36"/>
          <w:szCs w:val="36"/>
        </w:rPr>
        <w:t>their labor force back on board.</w:t>
      </w:r>
      <w:r w:rsidR="00BC2983">
        <w:rPr>
          <w:sz w:val="36"/>
          <w:szCs w:val="36"/>
        </w:rPr>
        <w:t xml:space="preserve"> </w:t>
      </w:r>
      <w:r w:rsidR="00265817">
        <w:rPr>
          <w:sz w:val="36"/>
          <w:szCs w:val="36"/>
        </w:rPr>
        <w:t>But i</w:t>
      </w:r>
      <w:r w:rsidR="000D3894">
        <w:rPr>
          <w:sz w:val="36"/>
          <w:szCs w:val="36"/>
        </w:rPr>
        <w:t xml:space="preserve">t </w:t>
      </w:r>
      <w:r w:rsidR="00265817">
        <w:rPr>
          <w:sz w:val="36"/>
          <w:szCs w:val="36"/>
        </w:rPr>
        <w:t xml:space="preserve">should be clear that, in many </w:t>
      </w:r>
      <w:r w:rsidR="000D3894">
        <w:rPr>
          <w:sz w:val="36"/>
          <w:szCs w:val="36"/>
        </w:rPr>
        <w:t>endeavors, firms and their employees</w:t>
      </w:r>
      <w:r w:rsidR="00BC2983">
        <w:rPr>
          <w:sz w:val="36"/>
          <w:szCs w:val="36"/>
        </w:rPr>
        <w:t xml:space="preserve"> have </w:t>
      </w:r>
      <w:r w:rsidR="00265817">
        <w:rPr>
          <w:sz w:val="36"/>
          <w:szCs w:val="36"/>
        </w:rPr>
        <w:t xml:space="preserve">found </w:t>
      </w:r>
      <w:r>
        <w:rPr>
          <w:sz w:val="36"/>
          <w:szCs w:val="36"/>
        </w:rPr>
        <w:t>definite a</w:t>
      </w:r>
      <w:r w:rsidR="000D3894">
        <w:rPr>
          <w:sz w:val="36"/>
          <w:szCs w:val="36"/>
        </w:rPr>
        <w:t xml:space="preserve">dvantages </w:t>
      </w:r>
      <w:r w:rsidR="00265817">
        <w:rPr>
          <w:sz w:val="36"/>
          <w:szCs w:val="36"/>
        </w:rPr>
        <w:t xml:space="preserve">in allowing some </w:t>
      </w:r>
      <w:r w:rsidR="00B4345C">
        <w:rPr>
          <w:sz w:val="36"/>
          <w:szCs w:val="36"/>
        </w:rPr>
        <w:t xml:space="preserve">categories </w:t>
      </w:r>
      <w:r w:rsidR="00265817">
        <w:rPr>
          <w:sz w:val="36"/>
          <w:szCs w:val="36"/>
        </w:rPr>
        <w:t xml:space="preserve">of employees to </w:t>
      </w:r>
      <w:r>
        <w:rPr>
          <w:sz w:val="36"/>
          <w:szCs w:val="36"/>
        </w:rPr>
        <w:t>work</w:t>
      </w:r>
      <w:r w:rsidR="00400ECB">
        <w:rPr>
          <w:sz w:val="36"/>
          <w:szCs w:val="36"/>
        </w:rPr>
        <w:t xml:space="preserve"> </w:t>
      </w:r>
      <w:r w:rsidR="003F0F5E">
        <w:rPr>
          <w:sz w:val="36"/>
          <w:szCs w:val="36"/>
        </w:rPr>
        <w:t>on</w:t>
      </w:r>
      <w:r w:rsidR="00BC2983">
        <w:rPr>
          <w:sz w:val="36"/>
          <w:szCs w:val="36"/>
        </w:rPr>
        <w:t>line from home</w:t>
      </w:r>
      <w:r w:rsidR="00400ECB">
        <w:rPr>
          <w:sz w:val="36"/>
          <w:szCs w:val="36"/>
        </w:rPr>
        <w:t xml:space="preserve"> on at least a part-time basis</w:t>
      </w:r>
      <w:r w:rsidR="000D3894">
        <w:rPr>
          <w:sz w:val="36"/>
          <w:szCs w:val="36"/>
        </w:rPr>
        <w:t xml:space="preserve">. </w:t>
      </w:r>
    </w:p>
    <w:p w14:paraId="46968518" w14:textId="77777777" w:rsidR="0040125C" w:rsidRDefault="00400ECB">
      <w:pPr>
        <w:rPr>
          <w:sz w:val="36"/>
          <w:szCs w:val="36"/>
        </w:rPr>
      </w:pPr>
      <w:r>
        <w:rPr>
          <w:sz w:val="36"/>
          <w:szCs w:val="36"/>
        </w:rPr>
        <w:t>F</w:t>
      </w:r>
      <w:r w:rsidR="00E77620">
        <w:rPr>
          <w:sz w:val="36"/>
          <w:szCs w:val="36"/>
        </w:rPr>
        <w:t>irm</w:t>
      </w:r>
      <w:r>
        <w:rPr>
          <w:sz w:val="36"/>
          <w:szCs w:val="36"/>
        </w:rPr>
        <w:t xml:space="preserve"> </w:t>
      </w:r>
      <w:r w:rsidR="00E77620">
        <w:rPr>
          <w:sz w:val="36"/>
          <w:szCs w:val="36"/>
        </w:rPr>
        <w:t>by</w:t>
      </w:r>
      <w:r>
        <w:rPr>
          <w:sz w:val="36"/>
          <w:szCs w:val="36"/>
        </w:rPr>
        <w:t xml:space="preserve"> </w:t>
      </w:r>
      <w:r w:rsidR="00E77620">
        <w:rPr>
          <w:sz w:val="36"/>
          <w:szCs w:val="36"/>
        </w:rPr>
        <w:t xml:space="preserve">firm, managers </w:t>
      </w:r>
      <w:r w:rsidR="00D23373">
        <w:rPr>
          <w:sz w:val="36"/>
          <w:szCs w:val="36"/>
        </w:rPr>
        <w:t>should be trying</w:t>
      </w:r>
      <w:r w:rsidR="00E77620">
        <w:rPr>
          <w:sz w:val="36"/>
          <w:szCs w:val="36"/>
        </w:rPr>
        <w:t xml:space="preserve"> to identify the activities in which </w:t>
      </w:r>
      <w:r w:rsidR="008F3C79">
        <w:rPr>
          <w:sz w:val="36"/>
          <w:szCs w:val="36"/>
        </w:rPr>
        <w:t>the benefits of</w:t>
      </w:r>
      <w:r w:rsidR="00E77620">
        <w:rPr>
          <w:sz w:val="36"/>
          <w:szCs w:val="36"/>
        </w:rPr>
        <w:t xml:space="preserve"> keeping </w:t>
      </w:r>
      <w:r>
        <w:rPr>
          <w:sz w:val="36"/>
          <w:szCs w:val="36"/>
        </w:rPr>
        <w:t>workers</w:t>
      </w:r>
      <w:r w:rsidR="00E77620">
        <w:rPr>
          <w:sz w:val="36"/>
          <w:szCs w:val="36"/>
        </w:rPr>
        <w:t xml:space="preserve"> </w:t>
      </w:r>
      <w:r>
        <w:rPr>
          <w:sz w:val="36"/>
          <w:szCs w:val="36"/>
        </w:rPr>
        <w:t>onsite</w:t>
      </w:r>
      <w:r w:rsidR="00D23373">
        <w:rPr>
          <w:sz w:val="36"/>
          <w:szCs w:val="36"/>
        </w:rPr>
        <w:t xml:space="preserve"> </w:t>
      </w:r>
      <w:r w:rsidR="008F3C79">
        <w:rPr>
          <w:sz w:val="36"/>
          <w:szCs w:val="36"/>
        </w:rPr>
        <w:t xml:space="preserve">cannot </w:t>
      </w:r>
      <w:r w:rsidR="00D23373">
        <w:rPr>
          <w:sz w:val="36"/>
          <w:szCs w:val="36"/>
        </w:rPr>
        <w:t>cover</w:t>
      </w:r>
      <w:r w:rsidR="00E77620">
        <w:rPr>
          <w:sz w:val="36"/>
          <w:szCs w:val="36"/>
        </w:rPr>
        <w:t xml:space="preserve"> the cost of </w:t>
      </w:r>
      <w:r w:rsidR="00012252">
        <w:rPr>
          <w:sz w:val="36"/>
          <w:szCs w:val="36"/>
        </w:rPr>
        <w:t xml:space="preserve">hardening the safety of the workspace </w:t>
      </w:r>
      <w:r w:rsidR="008F3C79">
        <w:rPr>
          <w:sz w:val="36"/>
          <w:szCs w:val="36"/>
        </w:rPr>
        <w:lastRenderedPageBreak/>
        <w:t>where they operated before the pandemic.</w:t>
      </w:r>
      <w:r>
        <w:rPr>
          <w:sz w:val="36"/>
          <w:szCs w:val="36"/>
        </w:rPr>
        <w:t xml:space="preserve"> </w:t>
      </w:r>
      <w:r w:rsidR="00D23373">
        <w:rPr>
          <w:sz w:val="36"/>
          <w:szCs w:val="36"/>
        </w:rPr>
        <w:t>Where</w:t>
      </w:r>
      <w:r>
        <w:rPr>
          <w:sz w:val="36"/>
          <w:szCs w:val="36"/>
        </w:rPr>
        <w:t xml:space="preserve">ver </w:t>
      </w:r>
      <w:r w:rsidR="00D23373">
        <w:rPr>
          <w:sz w:val="36"/>
          <w:szCs w:val="36"/>
        </w:rPr>
        <w:t xml:space="preserve">net benefits </w:t>
      </w:r>
      <w:r>
        <w:rPr>
          <w:sz w:val="36"/>
          <w:szCs w:val="36"/>
        </w:rPr>
        <w:t xml:space="preserve">seem </w:t>
      </w:r>
      <w:r w:rsidR="00D23373">
        <w:rPr>
          <w:sz w:val="36"/>
          <w:szCs w:val="36"/>
        </w:rPr>
        <w:t>negative, the space should</w:t>
      </w:r>
      <w:r w:rsidR="004916BA">
        <w:rPr>
          <w:sz w:val="36"/>
          <w:szCs w:val="36"/>
        </w:rPr>
        <w:t xml:space="preserve"> quickly</w:t>
      </w:r>
      <w:r w:rsidR="00D23373">
        <w:rPr>
          <w:sz w:val="36"/>
          <w:szCs w:val="36"/>
        </w:rPr>
        <w:t xml:space="preserve"> be </w:t>
      </w:r>
      <w:r w:rsidR="0040125C">
        <w:rPr>
          <w:sz w:val="36"/>
          <w:szCs w:val="36"/>
        </w:rPr>
        <w:t>offered for sale, leasing or subleas</w:t>
      </w:r>
      <w:r w:rsidR="004916BA">
        <w:rPr>
          <w:sz w:val="36"/>
          <w:szCs w:val="36"/>
        </w:rPr>
        <w:t>e</w:t>
      </w:r>
      <w:r w:rsidR="0040125C">
        <w:rPr>
          <w:sz w:val="36"/>
          <w:szCs w:val="36"/>
        </w:rPr>
        <w:t>.</w:t>
      </w:r>
    </w:p>
    <w:p w14:paraId="177CC775" w14:textId="77777777" w:rsidR="00604BB6" w:rsidRDefault="008F3C79">
      <w:pPr>
        <w:rPr>
          <w:sz w:val="36"/>
          <w:szCs w:val="36"/>
        </w:rPr>
      </w:pPr>
      <w:r>
        <w:rPr>
          <w:sz w:val="36"/>
          <w:szCs w:val="36"/>
        </w:rPr>
        <w:t>For example,</w:t>
      </w:r>
      <w:r w:rsidR="00D23373">
        <w:rPr>
          <w:sz w:val="36"/>
          <w:szCs w:val="36"/>
        </w:rPr>
        <w:t xml:space="preserve"> suppose that</w:t>
      </w:r>
      <w:r>
        <w:rPr>
          <w:sz w:val="36"/>
          <w:szCs w:val="36"/>
        </w:rPr>
        <w:t xml:space="preserve"> </w:t>
      </w:r>
      <w:r w:rsidR="00D23373">
        <w:rPr>
          <w:sz w:val="36"/>
          <w:szCs w:val="36"/>
        </w:rPr>
        <w:t>one-third of work that had traditionally entailed face-to-face meetings turn</w:t>
      </w:r>
      <w:r w:rsidR="0040125C">
        <w:rPr>
          <w:sz w:val="36"/>
          <w:szCs w:val="36"/>
        </w:rPr>
        <w:t>s</w:t>
      </w:r>
      <w:r w:rsidR="00D23373">
        <w:rPr>
          <w:sz w:val="36"/>
          <w:szCs w:val="36"/>
        </w:rPr>
        <w:t xml:space="preserve"> out to be </w:t>
      </w:r>
      <w:r w:rsidR="0040125C">
        <w:rPr>
          <w:sz w:val="36"/>
          <w:szCs w:val="36"/>
        </w:rPr>
        <w:t>more efficiently</w:t>
      </w:r>
      <w:r w:rsidR="00D23373">
        <w:rPr>
          <w:sz w:val="36"/>
          <w:szCs w:val="36"/>
        </w:rPr>
        <w:t xml:space="preserve"> performed online</w:t>
      </w:r>
      <w:r w:rsidR="0040125C">
        <w:rPr>
          <w:sz w:val="36"/>
          <w:szCs w:val="36"/>
        </w:rPr>
        <w:t xml:space="preserve"> than in person</w:t>
      </w:r>
      <w:r w:rsidR="00D23373">
        <w:rPr>
          <w:sz w:val="36"/>
          <w:szCs w:val="36"/>
        </w:rPr>
        <w:t xml:space="preserve">. This would mean a massive reduction in the need for daily </w:t>
      </w:r>
      <w:r w:rsidR="0040125C">
        <w:rPr>
          <w:sz w:val="36"/>
          <w:szCs w:val="36"/>
        </w:rPr>
        <w:t>commuting</w:t>
      </w:r>
      <w:r>
        <w:rPr>
          <w:sz w:val="36"/>
          <w:szCs w:val="36"/>
        </w:rPr>
        <w:t>,</w:t>
      </w:r>
      <w:r w:rsidR="00D23373">
        <w:rPr>
          <w:sz w:val="36"/>
          <w:szCs w:val="36"/>
        </w:rPr>
        <w:t xml:space="preserve"> cross-country travel</w:t>
      </w:r>
      <w:r>
        <w:rPr>
          <w:sz w:val="36"/>
          <w:szCs w:val="36"/>
        </w:rPr>
        <w:t>, and office space in center cities</w:t>
      </w:r>
      <w:r w:rsidR="00D23373">
        <w:rPr>
          <w:sz w:val="36"/>
          <w:szCs w:val="36"/>
        </w:rPr>
        <w:t>.</w:t>
      </w:r>
      <w:r w:rsidR="00604BB6">
        <w:rPr>
          <w:sz w:val="36"/>
          <w:szCs w:val="36"/>
        </w:rPr>
        <w:t xml:space="preserve"> </w:t>
      </w:r>
    </w:p>
    <w:p w14:paraId="28FC8FE6" w14:textId="77777777" w:rsidR="005079C2" w:rsidRDefault="00604BB6">
      <w:pPr>
        <w:rPr>
          <w:sz w:val="36"/>
          <w:szCs w:val="36"/>
        </w:rPr>
      </w:pPr>
      <w:r>
        <w:rPr>
          <w:sz w:val="36"/>
          <w:szCs w:val="36"/>
        </w:rPr>
        <w:t xml:space="preserve">Moving to a new equilibrium </w:t>
      </w:r>
      <w:r w:rsidR="00DA7642">
        <w:rPr>
          <w:sz w:val="36"/>
          <w:szCs w:val="36"/>
        </w:rPr>
        <w:t>require</w:t>
      </w:r>
      <w:r>
        <w:rPr>
          <w:sz w:val="36"/>
          <w:szCs w:val="36"/>
        </w:rPr>
        <w:t>s</w:t>
      </w:r>
      <w:r w:rsidR="00DA7642">
        <w:rPr>
          <w:sz w:val="36"/>
          <w:szCs w:val="36"/>
        </w:rPr>
        <w:t xml:space="preserve"> not only the exit and repurposing of</w:t>
      </w:r>
      <w:r w:rsidR="000D3894">
        <w:rPr>
          <w:sz w:val="36"/>
          <w:szCs w:val="36"/>
        </w:rPr>
        <w:t xml:space="preserve"> </w:t>
      </w:r>
      <w:r w:rsidR="005F762C">
        <w:rPr>
          <w:sz w:val="36"/>
          <w:szCs w:val="36"/>
        </w:rPr>
        <w:t>resources</w:t>
      </w:r>
      <w:r w:rsidR="00BC2983">
        <w:rPr>
          <w:sz w:val="36"/>
          <w:szCs w:val="36"/>
        </w:rPr>
        <w:t xml:space="preserve"> </w:t>
      </w:r>
      <w:r w:rsidR="00DA7642">
        <w:rPr>
          <w:sz w:val="36"/>
          <w:szCs w:val="36"/>
        </w:rPr>
        <w:t xml:space="preserve">currently </w:t>
      </w:r>
      <w:r w:rsidR="00BC2983">
        <w:rPr>
          <w:sz w:val="36"/>
          <w:szCs w:val="36"/>
        </w:rPr>
        <w:t>used in the</w:t>
      </w:r>
      <w:r w:rsidR="00D23373">
        <w:rPr>
          <w:sz w:val="36"/>
          <w:szCs w:val="36"/>
        </w:rPr>
        <w:t xml:space="preserve"> </w:t>
      </w:r>
      <w:r w:rsidR="00BC2983">
        <w:rPr>
          <w:sz w:val="36"/>
          <w:szCs w:val="36"/>
        </w:rPr>
        <w:t>oil, travel, and hospitality industries</w:t>
      </w:r>
      <w:r w:rsidR="00DA7642">
        <w:rPr>
          <w:sz w:val="36"/>
          <w:szCs w:val="36"/>
        </w:rPr>
        <w:t xml:space="preserve">, but a fall in the rents that can be </w:t>
      </w:r>
      <w:r>
        <w:rPr>
          <w:sz w:val="36"/>
          <w:szCs w:val="36"/>
        </w:rPr>
        <w:t xml:space="preserve">earned </w:t>
      </w:r>
      <w:r w:rsidR="00DA7642">
        <w:rPr>
          <w:sz w:val="36"/>
          <w:szCs w:val="36"/>
        </w:rPr>
        <w:t xml:space="preserve">on commercial </w:t>
      </w:r>
      <w:r>
        <w:rPr>
          <w:sz w:val="36"/>
          <w:szCs w:val="36"/>
        </w:rPr>
        <w:t>and residential</w:t>
      </w:r>
      <w:r w:rsidR="006F4333">
        <w:rPr>
          <w:sz w:val="36"/>
          <w:szCs w:val="36"/>
        </w:rPr>
        <w:t xml:space="preserve"> </w:t>
      </w:r>
      <w:r w:rsidR="00DA7642">
        <w:rPr>
          <w:sz w:val="36"/>
          <w:szCs w:val="36"/>
        </w:rPr>
        <w:t xml:space="preserve">property of all sorts. </w:t>
      </w:r>
      <w:r w:rsidR="006F4333">
        <w:rPr>
          <w:sz w:val="36"/>
          <w:szCs w:val="36"/>
        </w:rPr>
        <w:t xml:space="preserve">We say this for two reasons. First, cheaper property distant from city centers will become more attractive to households and businesses </w:t>
      </w:r>
      <w:r w:rsidR="008F3C79">
        <w:rPr>
          <w:sz w:val="36"/>
          <w:szCs w:val="36"/>
        </w:rPr>
        <w:t>that no longer need to be near city centers</w:t>
      </w:r>
      <w:r w:rsidR="006F4333">
        <w:rPr>
          <w:sz w:val="36"/>
          <w:szCs w:val="36"/>
        </w:rPr>
        <w:t>. Second, c</w:t>
      </w:r>
      <w:r w:rsidR="00DA7642">
        <w:rPr>
          <w:sz w:val="36"/>
          <w:szCs w:val="36"/>
        </w:rPr>
        <w:t>onvert</w:t>
      </w:r>
      <w:r>
        <w:rPr>
          <w:sz w:val="36"/>
          <w:szCs w:val="36"/>
        </w:rPr>
        <w:t>i</w:t>
      </w:r>
      <w:r w:rsidR="00DA7642">
        <w:rPr>
          <w:sz w:val="36"/>
          <w:szCs w:val="36"/>
        </w:rPr>
        <w:t>ng</w:t>
      </w:r>
      <w:r w:rsidR="009B0845">
        <w:rPr>
          <w:sz w:val="36"/>
          <w:szCs w:val="36"/>
        </w:rPr>
        <w:t xml:space="preserve"> </w:t>
      </w:r>
      <w:r w:rsidR="00BC2983">
        <w:rPr>
          <w:sz w:val="36"/>
          <w:szCs w:val="36"/>
        </w:rPr>
        <w:t xml:space="preserve">commercial </w:t>
      </w:r>
      <w:r w:rsidR="003F0F5E">
        <w:rPr>
          <w:sz w:val="36"/>
          <w:szCs w:val="36"/>
        </w:rPr>
        <w:t xml:space="preserve">real estate </w:t>
      </w:r>
      <w:r w:rsidR="006F4333">
        <w:rPr>
          <w:sz w:val="36"/>
          <w:szCs w:val="36"/>
        </w:rPr>
        <w:t xml:space="preserve">to </w:t>
      </w:r>
      <w:r w:rsidR="0040125C">
        <w:rPr>
          <w:sz w:val="36"/>
          <w:szCs w:val="36"/>
        </w:rPr>
        <w:t>new</w:t>
      </w:r>
      <w:r w:rsidR="006F4333">
        <w:rPr>
          <w:sz w:val="36"/>
          <w:szCs w:val="36"/>
        </w:rPr>
        <w:t xml:space="preserve"> use</w:t>
      </w:r>
      <w:r w:rsidR="0040125C">
        <w:rPr>
          <w:sz w:val="36"/>
          <w:szCs w:val="36"/>
        </w:rPr>
        <w:t>s</w:t>
      </w:r>
      <w:r w:rsidR="006F4333">
        <w:rPr>
          <w:sz w:val="36"/>
          <w:szCs w:val="36"/>
        </w:rPr>
        <w:t xml:space="preserve"> in the city center</w:t>
      </w:r>
      <w:r w:rsidR="00DA7642">
        <w:rPr>
          <w:sz w:val="36"/>
          <w:szCs w:val="36"/>
        </w:rPr>
        <w:t xml:space="preserve"> will </w:t>
      </w:r>
      <w:r w:rsidR="00012252">
        <w:rPr>
          <w:sz w:val="36"/>
          <w:szCs w:val="36"/>
        </w:rPr>
        <w:t xml:space="preserve">reconfigure </w:t>
      </w:r>
      <w:r w:rsidR="00DA7642">
        <w:rPr>
          <w:sz w:val="36"/>
          <w:szCs w:val="36"/>
        </w:rPr>
        <w:t xml:space="preserve">rents and house prices </w:t>
      </w:r>
      <w:r w:rsidR="006F4333">
        <w:rPr>
          <w:sz w:val="36"/>
          <w:szCs w:val="36"/>
        </w:rPr>
        <w:t xml:space="preserve">across </w:t>
      </w:r>
      <w:r w:rsidR="00012252">
        <w:rPr>
          <w:sz w:val="36"/>
          <w:szCs w:val="36"/>
        </w:rPr>
        <w:t>what will be an expanding metropolitan area</w:t>
      </w:r>
      <w:r w:rsidR="006F4333">
        <w:rPr>
          <w:sz w:val="36"/>
          <w:szCs w:val="36"/>
        </w:rPr>
        <w:t>.</w:t>
      </w:r>
    </w:p>
    <w:p w14:paraId="7C292D76" w14:textId="77777777" w:rsidR="00BC2983" w:rsidRDefault="006F4333">
      <w:pPr>
        <w:rPr>
          <w:sz w:val="36"/>
          <w:szCs w:val="36"/>
        </w:rPr>
      </w:pPr>
      <w:r>
        <w:rPr>
          <w:sz w:val="36"/>
          <w:szCs w:val="36"/>
        </w:rPr>
        <w:t>Congress and t</w:t>
      </w:r>
      <w:r w:rsidR="00BF06CF">
        <w:rPr>
          <w:sz w:val="36"/>
          <w:szCs w:val="36"/>
        </w:rPr>
        <w:t xml:space="preserve">he </w:t>
      </w:r>
      <w:r w:rsidR="00BC2983">
        <w:rPr>
          <w:sz w:val="36"/>
          <w:szCs w:val="36"/>
        </w:rPr>
        <w:t>Federal R</w:t>
      </w:r>
      <w:r w:rsidR="009B0845">
        <w:rPr>
          <w:sz w:val="36"/>
          <w:szCs w:val="36"/>
        </w:rPr>
        <w:t xml:space="preserve">eserve </w:t>
      </w:r>
      <w:r>
        <w:rPr>
          <w:sz w:val="36"/>
          <w:szCs w:val="36"/>
        </w:rPr>
        <w:t>have focused on</w:t>
      </w:r>
      <w:r w:rsidR="009B0845">
        <w:rPr>
          <w:sz w:val="36"/>
          <w:szCs w:val="36"/>
        </w:rPr>
        <w:t xml:space="preserve"> </w:t>
      </w:r>
      <w:r w:rsidR="00BF06CF">
        <w:rPr>
          <w:sz w:val="36"/>
          <w:szCs w:val="36"/>
        </w:rPr>
        <w:t>prepar</w:t>
      </w:r>
      <w:r w:rsidR="009B0845">
        <w:rPr>
          <w:sz w:val="36"/>
          <w:szCs w:val="36"/>
        </w:rPr>
        <w:t>ing programs of relief for firms in the</w:t>
      </w:r>
      <w:r>
        <w:rPr>
          <w:sz w:val="36"/>
          <w:szCs w:val="36"/>
        </w:rPr>
        <w:t xml:space="preserve"> most</w:t>
      </w:r>
      <w:r w:rsidR="009B0845">
        <w:rPr>
          <w:sz w:val="36"/>
          <w:szCs w:val="36"/>
        </w:rPr>
        <w:t xml:space="preserve"> </w:t>
      </w:r>
      <w:r w:rsidR="00BF06CF">
        <w:rPr>
          <w:sz w:val="36"/>
          <w:szCs w:val="36"/>
        </w:rPr>
        <w:t>deeply damage</w:t>
      </w:r>
      <w:r w:rsidR="00AB3940">
        <w:rPr>
          <w:sz w:val="36"/>
          <w:szCs w:val="36"/>
        </w:rPr>
        <w:t>d</w:t>
      </w:r>
      <w:r w:rsidR="00BF06CF">
        <w:rPr>
          <w:sz w:val="36"/>
          <w:szCs w:val="36"/>
        </w:rPr>
        <w:t xml:space="preserve"> </w:t>
      </w:r>
      <w:r w:rsidR="009B0845">
        <w:rPr>
          <w:sz w:val="36"/>
          <w:szCs w:val="36"/>
        </w:rPr>
        <w:t xml:space="preserve">industries, </w:t>
      </w:r>
      <w:r w:rsidR="00BF06CF">
        <w:rPr>
          <w:sz w:val="36"/>
          <w:szCs w:val="36"/>
        </w:rPr>
        <w:t xml:space="preserve">but </w:t>
      </w:r>
      <w:r w:rsidR="002B34D5">
        <w:rPr>
          <w:sz w:val="36"/>
          <w:szCs w:val="36"/>
        </w:rPr>
        <w:t>forbearance is not forgiveness. E</w:t>
      </w:r>
      <w:r w:rsidR="009B0845">
        <w:rPr>
          <w:sz w:val="36"/>
          <w:szCs w:val="36"/>
        </w:rPr>
        <w:t>verybody cannot subsidize everybody</w:t>
      </w:r>
      <w:r w:rsidR="002B34D5">
        <w:rPr>
          <w:sz w:val="36"/>
          <w:szCs w:val="36"/>
        </w:rPr>
        <w:t xml:space="preserve"> at the same time</w:t>
      </w:r>
      <w:r w:rsidR="009B0845">
        <w:rPr>
          <w:sz w:val="36"/>
          <w:szCs w:val="36"/>
        </w:rPr>
        <w:t xml:space="preserve">. </w:t>
      </w:r>
      <w:r w:rsidR="002B34D5">
        <w:rPr>
          <w:sz w:val="36"/>
          <w:szCs w:val="36"/>
        </w:rPr>
        <w:t>Nor can the</w:t>
      </w:r>
      <w:r w:rsidR="009B0845">
        <w:rPr>
          <w:sz w:val="36"/>
          <w:szCs w:val="36"/>
        </w:rPr>
        <w:t xml:space="preserve"> </w:t>
      </w:r>
      <w:r w:rsidR="0040125C">
        <w:rPr>
          <w:sz w:val="36"/>
          <w:szCs w:val="36"/>
        </w:rPr>
        <w:t xml:space="preserve">intergenerational costs of the </w:t>
      </w:r>
      <w:proofErr w:type="gramStart"/>
      <w:r w:rsidR="000D3894">
        <w:rPr>
          <w:sz w:val="36"/>
          <w:szCs w:val="36"/>
        </w:rPr>
        <w:t>interventions</w:t>
      </w:r>
      <w:proofErr w:type="gramEnd"/>
      <w:r w:rsidR="000D3894">
        <w:rPr>
          <w:sz w:val="36"/>
          <w:szCs w:val="36"/>
        </w:rPr>
        <w:t xml:space="preserve"> </w:t>
      </w:r>
      <w:r w:rsidR="00DA7642">
        <w:rPr>
          <w:sz w:val="36"/>
          <w:szCs w:val="36"/>
        </w:rPr>
        <w:t>officials</w:t>
      </w:r>
      <w:r w:rsidR="000D3894">
        <w:rPr>
          <w:sz w:val="36"/>
          <w:szCs w:val="36"/>
        </w:rPr>
        <w:t xml:space="preserve"> decide upon</w:t>
      </w:r>
      <w:r w:rsidR="00012252">
        <w:rPr>
          <w:sz w:val="36"/>
          <w:szCs w:val="36"/>
        </w:rPr>
        <w:t xml:space="preserve"> now </w:t>
      </w:r>
      <w:r w:rsidR="0040125C">
        <w:rPr>
          <w:sz w:val="36"/>
          <w:szCs w:val="36"/>
        </w:rPr>
        <w:t>be shifted forward</w:t>
      </w:r>
      <w:r w:rsidR="009B0845">
        <w:rPr>
          <w:sz w:val="36"/>
          <w:szCs w:val="36"/>
        </w:rPr>
        <w:t xml:space="preserve"> forever. </w:t>
      </w:r>
      <w:r w:rsidR="003F0F5E">
        <w:rPr>
          <w:sz w:val="36"/>
          <w:szCs w:val="36"/>
        </w:rPr>
        <w:t xml:space="preserve"> </w:t>
      </w:r>
    </w:p>
    <w:p w14:paraId="52C20FF0" w14:textId="77777777" w:rsidR="00A06176" w:rsidRDefault="003F0F5E">
      <w:pPr>
        <w:rPr>
          <w:sz w:val="36"/>
          <w:szCs w:val="36"/>
        </w:rPr>
      </w:pPr>
      <w:r>
        <w:rPr>
          <w:sz w:val="36"/>
          <w:szCs w:val="36"/>
        </w:rPr>
        <w:lastRenderedPageBreak/>
        <w:t xml:space="preserve">What worries us </w:t>
      </w:r>
      <w:r w:rsidR="0040125C">
        <w:rPr>
          <w:sz w:val="36"/>
          <w:szCs w:val="36"/>
        </w:rPr>
        <w:t xml:space="preserve">particularly </w:t>
      </w:r>
      <w:r>
        <w:rPr>
          <w:sz w:val="36"/>
          <w:szCs w:val="36"/>
        </w:rPr>
        <w:t xml:space="preserve">is </w:t>
      </w:r>
      <w:r w:rsidR="00BF06CF">
        <w:rPr>
          <w:sz w:val="36"/>
          <w:szCs w:val="36"/>
        </w:rPr>
        <w:t>the lack of planning for ways to exit and otherwise rationalize the</w:t>
      </w:r>
      <w:r w:rsidR="000D3894">
        <w:rPr>
          <w:sz w:val="36"/>
          <w:szCs w:val="36"/>
        </w:rPr>
        <w:t xml:space="preserve"> </w:t>
      </w:r>
      <w:r w:rsidR="0040125C">
        <w:rPr>
          <w:sz w:val="36"/>
          <w:szCs w:val="36"/>
        </w:rPr>
        <w:t>Fed’s credit-allocation</w:t>
      </w:r>
      <w:r w:rsidR="00BF06CF">
        <w:rPr>
          <w:sz w:val="36"/>
          <w:szCs w:val="36"/>
        </w:rPr>
        <w:t xml:space="preserve"> programs</w:t>
      </w:r>
      <w:r w:rsidR="0040125C">
        <w:rPr>
          <w:sz w:val="36"/>
          <w:szCs w:val="36"/>
        </w:rPr>
        <w:t xml:space="preserve"> so as</w:t>
      </w:r>
      <w:r w:rsidR="00BF06CF">
        <w:rPr>
          <w:sz w:val="36"/>
          <w:szCs w:val="36"/>
        </w:rPr>
        <w:t xml:space="preserve"> to </w:t>
      </w:r>
      <w:r w:rsidR="00DA7642">
        <w:rPr>
          <w:sz w:val="36"/>
          <w:szCs w:val="36"/>
        </w:rPr>
        <w:t xml:space="preserve">speed the transition to </w:t>
      </w:r>
      <w:r w:rsidR="00BF06CF">
        <w:rPr>
          <w:sz w:val="36"/>
          <w:szCs w:val="36"/>
        </w:rPr>
        <w:t>a viable new equilibrium. It is clear that</w:t>
      </w:r>
      <w:r w:rsidR="00A06176">
        <w:rPr>
          <w:sz w:val="36"/>
          <w:szCs w:val="36"/>
        </w:rPr>
        <w:t xml:space="preserve">, the longer </w:t>
      </w:r>
      <w:r w:rsidR="0040125C">
        <w:rPr>
          <w:sz w:val="36"/>
          <w:szCs w:val="36"/>
        </w:rPr>
        <w:t>it takes to develop and distribute</w:t>
      </w:r>
      <w:r w:rsidR="00A06176">
        <w:rPr>
          <w:sz w:val="36"/>
          <w:szCs w:val="36"/>
        </w:rPr>
        <w:t xml:space="preserve"> effective vaccine</w:t>
      </w:r>
      <w:r w:rsidR="006F4333">
        <w:rPr>
          <w:sz w:val="36"/>
          <w:szCs w:val="36"/>
        </w:rPr>
        <w:t>s</w:t>
      </w:r>
      <w:r w:rsidR="00A06176">
        <w:rPr>
          <w:sz w:val="36"/>
          <w:szCs w:val="36"/>
        </w:rPr>
        <w:t xml:space="preserve"> and cure</w:t>
      </w:r>
      <w:r w:rsidR="006F4333">
        <w:rPr>
          <w:sz w:val="36"/>
          <w:szCs w:val="36"/>
        </w:rPr>
        <w:t>s</w:t>
      </w:r>
      <w:r w:rsidR="00A06176">
        <w:rPr>
          <w:sz w:val="36"/>
          <w:szCs w:val="36"/>
        </w:rPr>
        <w:t xml:space="preserve">, the larger the </w:t>
      </w:r>
      <w:r w:rsidR="00604BB6">
        <w:rPr>
          <w:sz w:val="36"/>
          <w:szCs w:val="36"/>
        </w:rPr>
        <w:t>mountain</w:t>
      </w:r>
      <w:r>
        <w:rPr>
          <w:sz w:val="36"/>
          <w:szCs w:val="36"/>
        </w:rPr>
        <w:t xml:space="preserve"> of unpaid </w:t>
      </w:r>
      <w:r w:rsidR="0040125C">
        <w:rPr>
          <w:sz w:val="36"/>
          <w:szCs w:val="36"/>
        </w:rPr>
        <w:t xml:space="preserve">credit-card debt, </w:t>
      </w:r>
      <w:r>
        <w:rPr>
          <w:sz w:val="36"/>
          <w:szCs w:val="36"/>
        </w:rPr>
        <w:t>rents</w:t>
      </w:r>
      <w:r w:rsidR="0040125C">
        <w:rPr>
          <w:sz w:val="36"/>
          <w:szCs w:val="36"/>
        </w:rPr>
        <w:t>,</w:t>
      </w:r>
      <w:r>
        <w:rPr>
          <w:sz w:val="36"/>
          <w:szCs w:val="36"/>
        </w:rPr>
        <w:t xml:space="preserve"> mortgage payments </w:t>
      </w:r>
      <w:r w:rsidR="0040125C">
        <w:rPr>
          <w:sz w:val="36"/>
          <w:szCs w:val="36"/>
        </w:rPr>
        <w:t xml:space="preserve">and other bills </w:t>
      </w:r>
      <w:r w:rsidR="00A06176">
        <w:rPr>
          <w:sz w:val="36"/>
          <w:szCs w:val="36"/>
        </w:rPr>
        <w:t xml:space="preserve">that </w:t>
      </w:r>
      <w:r w:rsidR="008F3C79">
        <w:rPr>
          <w:sz w:val="36"/>
          <w:szCs w:val="36"/>
        </w:rPr>
        <w:t>will</w:t>
      </w:r>
      <w:r>
        <w:rPr>
          <w:sz w:val="36"/>
          <w:szCs w:val="36"/>
        </w:rPr>
        <w:t xml:space="preserve"> emerge</w:t>
      </w:r>
      <w:r w:rsidR="00A06176">
        <w:rPr>
          <w:sz w:val="36"/>
          <w:szCs w:val="36"/>
        </w:rPr>
        <w:t xml:space="preserve">. </w:t>
      </w:r>
      <w:r w:rsidR="0040125C">
        <w:rPr>
          <w:sz w:val="36"/>
          <w:szCs w:val="36"/>
        </w:rPr>
        <w:t xml:space="preserve">For example, the current </w:t>
      </w:r>
      <w:r w:rsidR="006F4333">
        <w:rPr>
          <w:sz w:val="36"/>
          <w:szCs w:val="36"/>
        </w:rPr>
        <w:t xml:space="preserve">partial </w:t>
      </w:r>
      <w:r w:rsidR="00DA7642">
        <w:rPr>
          <w:sz w:val="36"/>
          <w:szCs w:val="36"/>
        </w:rPr>
        <w:t xml:space="preserve">moratorium on foreclosures and evictions is a </w:t>
      </w:r>
      <w:r w:rsidR="00391CD0">
        <w:rPr>
          <w:sz w:val="36"/>
          <w:szCs w:val="36"/>
        </w:rPr>
        <w:t>policy</w:t>
      </w:r>
      <w:r w:rsidR="00DA7642">
        <w:rPr>
          <w:sz w:val="36"/>
          <w:szCs w:val="36"/>
        </w:rPr>
        <w:t xml:space="preserve"> whose long-run effect is a</w:t>
      </w:r>
      <w:r w:rsidR="00A06176">
        <w:rPr>
          <w:sz w:val="36"/>
          <w:szCs w:val="36"/>
        </w:rPr>
        <w:t xml:space="preserve"> </w:t>
      </w:r>
      <w:r w:rsidR="00DA7642">
        <w:rPr>
          <w:sz w:val="36"/>
          <w:szCs w:val="36"/>
        </w:rPr>
        <w:t xml:space="preserve">growing </w:t>
      </w:r>
      <w:r w:rsidR="00A06176">
        <w:rPr>
          <w:sz w:val="36"/>
          <w:szCs w:val="36"/>
        </w:rPr>
        <w:t xml:space="preserve">backlog </w:t>
      </w:r>
      <w:r w:rsidR="00DA7642">
        <w:rPr>
          <w:sz w:val="36"/>
          <w:szCs w:val="36"/>
        </w:rPr>
        <w:t xml:space="preserve">of </w:t>
      </w:r>
      <w:r w:rsidR="006F4333">
        <w:rPr>
          <w:sz w:val="36"/>
          <w:szCs w:val="36"/>
        </w:rPr>
        <w:t xml:space="preserve">worried </w:t>
      </w:r>
      <w:r w:rsidR="00DA7642">
        <w:rPr>
          <w:sz w:val="36"/>
          <w:szCs w:val="36"/>
        </w:rPr>
        <w:t>household</w:t>
      </w:r>
      <w:r w:rsidR="006F4333">
        <w:rPr>
          <w:sz w:val="36"/>
          <w:szCs w:val="36"/>
        </w:rPr>
        <w:t>s</w:t>
      </w:r>
      <w:r w:rsidR="00391CD0">
        <w:rPr>
          <w:sz w:val="36"/>
          <w:szCs w:val="36"/>
        </w:rPr>
        <w:t>,</w:t>
      </w:r>
      <w:r w:rsidR="00DA7642">
        <w:rPr>
          <w:sz w:val="36"/>
          <w:szCs w:val="36"/>
        </w:rPr>
        <w:t xml:space="preserve"> landlords</w:t>
      </w:r>
      <w:r w:rsidR="00391CD0">
        <w:rPr>
          <w:sz w:val="36"/>
          <w:szCs w:val="36"/>
        </w:rPr>
        <w:t>, and mortgage investors</w:t>
      </w:r>
      <w:r w:rsidR="00DA7642">
        <w:rPr>
          <w:sz w:val="36"/>
          <w:szCs w:val="36"/>
        </w:rPr>
        <w:t xml:space="preserve"> whose unpaid </w:t>
      </w:r>
      <w:r w:rsidR="00391CD0">
        <w:rPr>
          <w:sz w:val="36"/>
          <w:szCs w:val="36"/>
        </w:rPr>
        <w:t>claims</w:t>
      </w:r>
      <w:r w:rsidR="00DA7642">
        <w:rPr>
          <w:sz w:val="36"/>
          <w:szCs w:val="36"/>
        </w:rPr>
        <w:t xml:space="preserve"> </w:t>
      </w:r>
      <w:r w:rsidR="00BF06CF">
        <w:rPr>
          <w:sz w:val="36"/>
          <w:szCs w:val="36"/>
        </w:rPr>
        <w:t xml:space="preserve">will </w:t>
      </w:r>
      <w:r w:rsidR="00604BB6">
        <w:rPr>
          <w:sz w:val="36"/>
          <w:szCs w:val="36"/>
        </w:rPr>
        <w:t xml:space="preserve">have to be settled eventually.  What is missing </w:t>
      </w:r>
      <w:r w:rsidR="006F4333">
        <w:rPr>
          <w:sz w:val="36"/>
          <w:szCs w:val="36"/>
        </w:rPr>
        <w:t xml:space="preserve">from the </w:t>
      </w:r>
      <w:r w:rsidR="006A083A">
        <w:rPr>
          <w:sz w:val="36"/>
          <w:szCs w:val="36"/>
        </w:rPr>
        <w:t>federal government’s</w:t>
      </w:r>
      <w:r w:rsidR="00FB58A0">
        <w:rPr>
          <w:sz w:val="36"/>
          <w:szCs w:val="36"/>
        </w:rPr>
        <w:t xml:space="preserve"> </w:t>
      </w:r>
      <w:r w:rsidR="006A083A">
        <w:rPr>
          <w:sz w:val="36"/>
          <w:szCs w:val="36"/>
        </w:rPr>
        <w:t>rescue program</w:t>
      </w:r>
      <w:r w:rsidR="006F4333">
        <w:rPr>
          <w:sz w:val="36"/>
          <w:szCs w:val="36"/>
        </w:rPr>
        <w:t xml:space="preserve"> </w:t>
      </w:r>
      <w:r w:rsidR="00604BB6">
        <w:rPr>
          <w:sz w:val="36"/>
          <w:szCs w:val="36"/>
        </w:rPr>
        <w:t xml:space="preserve">is an effort to speed up the process of rent </w:t>
      </w:r>
      <w:r w:rsidR="006F4333">
        <w:rPr>
          <w:sz w:val="36"/>
          <w:szCs w:val="36"/>
        </w:rPr>
        <w:t xml:space="preserve">and occupancy </w:t>
      </w:r>
      <w:r w:rsidR="00604BB6">
        <w:rPr>
          <w:sz w:val="36"/>
          <w:szCs w:val="36"/>
        </w:rPr>
        <w:t>adjustment.</w:t>
      </w:r>
    </w:p>
    <w:p w14:paraId="79EA3EA1" w14:textId="77777777" w:rsidR="0038438F" w:rsidRDefault="00BF06CF">
      <w:pPr>
        <w:rPr>
          <w:sz w:val="36"/>
          <w:szCs w:val="36"/>
        </w:rPr>
      </w:pPr>
      <w:r>
        <w:rPr>
          <w:sz w:val="36"/>
          <w:szCs w:val="36"/>
        </w:rPr>
        <w:t>Everyone knows</w:t>
      </w:r>
      <w:r w:rsidR="00A83A15">
        <w:rPr>
          <w:sz w:val="36"/>
          <w:szCs w:val="36"/>
        </w:rPr>
        <w:t>, for example,</w:t>
      </w:r>
      <w:r>
        <w:rPr>
          <w:sz w:val="36"/>
          <w:szCs w:val="36"/>
        </w:rPr>
        <w:t xml:space="preserve"> that </w:t>
      </w:r>
      <w:r w:rsidR="00A06176">
        <w:rPr>
          <w:sz w:val="36"/>
          <w:szCs w:val="36"/>
        </w:rPr>
        <w:t xml:space="preserve">processes of </w:t>
      </w:r>
      <w:r>
        <w:rPr>
          <w:sz w:val="36"/>
          <w:szCs w:val="36"/>
        </w:rPr>
        <w:t xml:space="preserve">foreclosure, eviction, and </w:t>
      </w:r>
      <w:r w:rsidR="00391CD0">
        <w:rPr>
          <w:sz w:val="36"/>
          <w:szCs w:val="36"/>
        </w:rPr>
        <w:t>re-</w:t>
      </w:r>
      <w:r>
        <w:rPr>
          <w:sz w:val="36"/>
          <w:szCs w:val="36"/>
        </w:rPr>
        <w:t>le</w:t>
      </w:r>
      <w:r w:rsidR="00A06176">
        <w:rPr>
          <w:sz w:val="36"/>
          <w:szCs w:val="36"/>
        </w:rPr>
        <w:t xml:space="preserve">asing </w:t>
      </w:r>
      <w:r>
        <w:rPr>
          <w:sz w:val="36"/>
          <w:szCs w:val="36"/>
        </w:rPr>
        <w:t xml:space="preserve">properties </w:t>
      </w:r>
      <w:r w:rsidR="00A06176">
        <w:rPr>
          <w:sz w:val="36"/>
          <w:szCs w:val="36"/>
        </w:rPr>
        <w:t>to new tenant</w:t>
      </w:r>
      <w:r w:rsidR="00391CD0">
        <w:rPr>
          <w:sz w:val="36"/>
          <w:szCs w:val="36"/>
        </w:rPr>
        <w:t>s</w:t>
      </w:r>
      <w:r w:rsidR="00A06176">
        <w:rPr>
          <w:sz w:val="36"/>
          <w:szCs w:val="36"/>
        </w:rPr>
        <w:t xml:space="preserve"> </w:t>
      </w:r>
      <w:r w:rsidR="00604BB6">
        <w:rPr>
          <w:sz w:val="36"/>
          <w:szCs w:val="36"/>
        </w:rPr>
        <w:t xml:space="preserve">will </w:t>
      </w:r>
      <w:r w:rsidR="00AB3940">
        <w:rPr>
          <w:sz w:val="36"/>
          <w:szCs w:val="36"/>
        </w:rPr>
        <w:t xml:space="preserve">generate huge transition costs.  To minimize these costs, we need </w:t>
      </w:r>
      <w:r w:rsidR="00391CD0">
        <w:rPr>
          <w:sz w:val="36"/>
          <w:szCs w:val="36"/>
        </w:rPr>
        <w:t xml:space="preserve">policies </w:t>
      </w:r>
      <w:r w:rsidR="00A83A15">
        <w:rPr>
          <w:sz w:val="36"/>
          <w:szCs w:val="36"/>
        </w:rPr>
        <w:t>that invest in</w:t>
      </w:r>
      <w:r w:rsidR="00391CD0">
        <w:rPr>
          <w:sz w:val="36"/>
          <w:szCs w:val="36"/>
        </w:rPr>
        <w:t xml:space="preserve"> keeping people and resources in place wherever </w:t>
      </w:r>
      <w:r w:rsidR="00A83A15">
        <w:rPr>
          <w:sz w:val="36"/>
          <w:szCs w:val="36"/>
        </w:rPr>
        <w:t xml:space="preserve">and whenever </w:t>
      </w:r>
      <w:r w:rsidR="00391CD0">
        <w:rPr>
          <w:sz w:val="36"/>
          <w:szCs w:val="36"/>
        </w:rPr>
        <w:t xml:space="preserve">this is efficient. </w:t>
      </w:r>
      <w:r w:rsidR="0038438F">
        <w:rPr>
          <w:sz w:val="36"/>
          <w:szCs w:val="36"/>
        </w:rPr>
        <w:t>It can’t be efficient to</w:t>
      </w:r>
      <w:r w:rsidR="00391CD0">
        <w:rPr>
          <w:sz w:val="36"/>
          <w:szCs w:val="36"/>
        </w:rPr>
        <w:t xml:space="preserve"> close </w:t>
      </w:r>
      <w:r w:rsidR="0038438F">
        <w:rPr>
          <w:sz w:val="36"/>
          <w:szCs w:val="36"/>
        </w:rPr>
        <w:t xml:space="preserve">popular </w:t>
      </w:r>
      <w:r w:rsidR="00391CD0">
        <w:rPr>
          <w:sz w:val="36"/>
          <w:szCs w:val="36"/>
        </w:rPr>
        <w:t xml:space="preserve">restaurants only to reopen them </w:t>
      </w:r>
      <w:r w:rsidR="0038438F">
        <w:rPr>
          <w:sz w:val="36"/>
          <w:szCs w:val="36"/>
        </w:rPr>
        <w:t xml:space="preserve">with more or less the same cuisine </w:t>
      </w:r>
      <w:r w:rsidR="00A83A15">
        <w:rPr>
          <w:sz w:val="36"/>
          <w:szCs w:val="36"/>
        </w:rPr>
        <w:t xml:space="preserve">under </w:t>
      </w:r>
      <w:r w:rsidR="0038438F">
        <w:rPr>
          <w:sz w:val="36"/>
          <w:szCs w:val="36"/>
        </w:rPr>
        <w:t>a different</w:t>
      </w:r>
      <w:r w:rsidR="00A83A15">
        <w:rPr>
          <w:sz w:val="36"/>
          <w:szCs w:val="36"/>
        </w:rPr>
        <w:t xml:space="preserve"> name and </w:t>
      </w:r>
      <w:r w:rsidR="0038438F">
        <w:rPr>
          <w:sz w:val="36"/>
          <w:szCs w:val="36"/>
        </w:rPr>
        <w:t>with a new staff. Nor does it make sense to</w:t>
      </w:r>
      <w:r w:rsidR="00391CD0">
        <w:rPr>
          <w:sz w:val="36"/>
          <w:szCs w:val="36"/>
        </w:rPr>
        <w:t xml:space="preserve"> empty apartment buildings </w:t>
      </w:r>
      <w:r w:rsidR="0038438F">
        <w:rPr>
          <w:sz w:val="36"/>
          <w:szCs w:val="36"/>
        </w:rPr>
        <w:t xml:space="preserve">on a wholesale basis and refill them with displaced tenants from a few blocks away. </w:t>
      </w:r>
    </w:p>
    <w:p w14:paraId="2A719B87" w14:textId="77777777" w:rsidR="003E12DA" w:rsidRDefault="00AA21E2">
      <w:pPr>
        <w:rPr>
          <w:sz w:val="36"/>
          <w:szCs w:val="36"/>
        </w:rPr>
      </w:pPr>
      <w:r>
        <w:rPr>
          <w:sz w:val="36"/>
          <w:szCs w:val="36"/>
        </w:rPr>
        <w:lastRenderedPageBreak/>
        <w:t>We are reminded of the commonsense advi</w:t>
      </w:r>
      <w:r w:rsidR="00A5410F">
        <w:rPr>
          <w:sz w:val="36"/>
          <w:szCs w:val="36"/>
        </w:rPr>
        <w:t>ce</w:t>
      </w:r>
      <w:r>
        <w:rPr>
          <w:sz w:val="36"/>
          <w:szCs w:val="36"/>
        </w:rPr>
        <w:t xml:space="preserve"> that no one can get blood from a turnip. </w:t>
      </w:r>
      <w:r w:rsidR="0038438F">
        <w:rPr>
          <w:sz w:val="36"/>
          <w:szCs w:val="36"/>
        </w:rPr>
        <w:t xml:space="preserve">If the concept of </w:t>
      </w:r>
      <w:r w:rsidR="002B34D5">
        <w:rPr>
          <w:sz w:val="36"/>
          <w:szCs w:val="36"/>
        </w:rPr>
        <w:t>a</w:t>
      </w:r>
      <w:r w:rsidR="0038438F">
        <w:rPr>
          <w:sz w:val="36"/>
          <w:szCs w:val="36"/>
        </w:rPr>
        <w:t xml:space="preserve"> </w:t>
      </w:r>
      <w:r w:rsidR="002B34D5">
        <w:rPr>
          <w:sz w:val="36"/>
          <w:szCs w:val="36"/>
        </w:rPr>
        <w:t>“</w:t>
      </w:r>
      <w:r w:rsidR="0038438F">
        <w:rPr>
          <w:sz w:val="36"/>
          <w:szCs w:val="36"/>
        </w:rPr>
        <w:t>justice</w:t>
      </w:r>
      <w:r w:rsidR="002B34D5">
        <w:rPr>
          <w:sz w:val="36"/>
          <w:szCs w:val="36"/>
        </w:rPr>
        <w:t>”</w:t>
      </w:r>
      <w:r w:rsidR="0038438F">
        <w:rPr>
          <w:sz w:val="36"/>
          <w:szCs w:val="36"/>
        </w:rPr>
        <w:t xml:space="preserve"> system is to mean anything,</w:t>
      </w:r>
      <w:r w:rsidR="00391CD0">
        <w:rPr>
          <w:sz w:val="36"/>
          <w:szCs w:val="36"/>
        </w:rPr>
        <w:t xml:space="preserve"> </w:t>
      </w:r>
      <w:r w:rsidR="00BF06CF">
        <w:rPr>
          <w:sz w:val="36"/>
          <w:szCs w:val="36"/>
        </w:rPr>
        <w:t>efficient tool</w:t>
      </w:r>
      <w:r w:rsidR="00604BB6">
        <w:rPr>
          <w:sz w:val="36"/>
          <w:szCs w:val="36"/>
        </w:rPr>
        <w:t>s</w:t>
      </w:r>
      <w:r w:rsidR="00AB3940">
        <w:rPr>
          <w:sz w:val="36"/>
          <w:szCs w:val="36"/>
        </w:rPr>
        <w:t xml:space="preserve"> </w:t>
      </w:r>
      <w:r w:rsidR="00BF06CF">
        <w:rPr>
          <w:sz w:val="36"/>
          <w:szCs w:val="36"/>
        </w:rPr>
        <w:t>for</w:t>
      </w:r>
      <w:r w:rsidR="002B34D5">
        <w:rPr>
          <w:sz w:val="36"/>
          <w:szCs w:val="36"/>
        </w:rPr>
        <w:t xml:space="preserve"> breaking leases and</w:t>
      </w:r>
      <w:r w:rsidR="00BF06CF">
        <w:rPr>
          <w:sz w:val="36"/>
          <w:szCs w:val="36"/>
        </w:rPr>
        <w:t xml:space="preserve"> </w:t>
      </w:r>
      <w:r w:rsidR="00604BB6">
        <w:rPr>
          <w:sz w:val="36"/>
          <w:szCs w:val="36"/>
        </w:rPr>
        <w:t xml:space="preserve">distributing </w:t>
      </w:r>
      <w:r>
        <w:rPr>
          <w:sz w:val="36"/>
          <w:szCs w:val="36"/>
        </w:rPr>
        <w:t xml:space="preserve">opportunity-cost </w:t>
      </w:r>
      <w:r w:rsidR="00604BB6">
        <w:rPr>
          <w:sz w:val="36"/>
          <w:szCs w:val="36"/>
        </w:rPr>
        <w:t xml:space="preserve">losses between tenants and landlords and between lenders and </w:t>
      </w:r>
      <w:r w:rsidR="0038438F">
        <w:rPr>
          <w:sz w:val="36"/>
          <w:szCs w:val="36"/>
        </w:rPr>
        <w:t>borrowers must be expanded with the goal of resetting the terms of what ha</w:t>
      </w:r>
      <w:r>
        <w:rPr>
          <w:sz w:val="36"/>
          <w:szCs w:val="36"/>
        </w:rPr>
        <w:t xml:space="preserve">s </w:t>
      </w:r>
      <w:r w:rsidR="0038438F">
        <w:rPr>
          <w:sz w:val="36"/>
          <w:szCs w:val="36"/>
        </w:rPr>
        <w:t xml:space="preserve">become </w:t>
      </w:r>
      <w:r>
        <w:rPr>
          <w:sz w:val="36"/>
          <w:szCs w:val="36"/>
        </w:rPr>
        <w:t xml:space="preserve">an economy-wide network of </w:t>
      </w:r>
      <w:r w:rsidR="0038438F">
        <w:rPr>
          <w:sz w:val="36"/>
          <w:szCs w:val="36"/>
        </w:rPr>
        <w:t xml:space="preserve">unenforceable contracts. </w:t>
      </w:r>
    </w:p>
    <w:p w14:paraId="63685964" w14:textId="77777777" w:rsidR="00A06176" w:rsidRDefault="003E12DA">
      <w:pPr>
        <w:rPr>
          <w:sz w:val="36"/>
          <w:szCs w:val="36"/>
        </w:rPr>
      </w:pPr>
      <w:r>
        <w:rPr>
          <w:sz w:val="36"/>
          <w:szCs w:val="36"/>
        </w:rPr>
        <w:t>I</w:t>
      </w:r>
      <w:r w:rsidR="00A06176">
        <w:rPr>
          <w:sz w:val="36"/>
          <w:szCs w:val="36"/>
        </w:rPr>
        <w:t xml:space="preserve">t seems </w:t>
      </w:r>
      <w:r w:rsidR="00AA21E2">
        <w:rPr>
          <w:sz w:val="36"/>
          <w:szCs w:val="36"/>
        </w:rPr>
        <w:t>clear</w:t>
      </w:r>
      <w:r w:rsidR="00A06176">
        <w:rPr>
          <w:sz w:val="36"/>
          <w:szCs w:val="36"/>
        </w:rPr>
        <w:t xml:space="preserve"> that </w:t>
      </w:r>
      <w:r w:rsidR="00AA21E2">
        <w:rPr>
          <w:sz w:val="36"/>
          <w:szCs w:val="36"/>
        </w:rPr>
        <w:t xml:space="preserve">governments should be </w:t>
      </w:r>
      <w:r w:rsidR="00D47348">
        <w:rPr>
          <w:sz w:val="36"/>
          <w:szCs w:val="36"/>
        </w:rPr>
        <w:t>looking for</w:t>
      </w:r>
      <w:r w:rsidR="00AA21E2">
        <w:rPr>
          <w:sz w:val="36"/>
          <w:szCs w:val="36"/>
        </w:rPr>
        <w:t xml:space="preserve"> way</w:t>
      </w:r>
      <w:r w:rsidR="00A5410F">
        <w:rPr>
          <w:sz w:val="36"/>
          <w:szCs w:val="36"/>
        </w:rPr>
        <w:t>s to</w:t>
      </w:r>
      <w:r w:rsidR="00A06176">
        <w:rPr>
          <w:sz w:val="36"/>
          <w:szCs w:val="36"/>
        </w:rPr>
        <w:t xml:space="preserve"> expan</w:t>
      </w:r>
      <w:r w:rsidR="00A5410F">
        <w:rPr>
          <w:sz w:val="36"/>
          <w:szCs w:val="36"/>
        </w:rPr>
        <w:t xml:space="preserve">d, redesign, </w:t>
      </w:r>
      <w:r w:rsidR="00A06176">
        <w:rPr>
          <w:sz w:val="36"/>
          <w:szCs w:val="36"/>
        </w:rPr>
        <w:t>and repurpos</w:t>
      </w:r>
      <w:r w:rsidR="00AA21E2">
        <w:rPr>
          <w:sz w:val="36"/>
          <w:szCs w:val="36"/>
        </w:rPr>
        <w:t>e</w:t>
      </w:r>
      <w:r w:rsidR="00A06176">
        <w:rPr>
          <w:sz w:val="36"/>
          <w:szCs w:val="36"/>
        </w:rPr>
        <w:t xml:space="preserve"> </w:t>
      </w:r>
      <w:r w:rsidR="00A5410F">
        <w:rPr>
          <w:sz w:val="36"/>
          <w:szCs w:val="36"/>
        </w:rPr>
        <w:t>their</w:t>
      </w:r>
      <w:r>
        <w:rPr>
          <w:sz w:val="36"/>
          <w:szCs w:val="36"/>
        </w:rPr>
        <w:t xml:space="preserve"> </w:t>
      </w:r>
      <w:r w:rsidR="00AA21E2">
        <w:rPr>
          <w:sz w:val="36"/>
          <w:szCs w:val="36"/>
        </w:rPr>
        <w:t xml:space="preserve">bankruptcy, </w:t>
      </w:r>
      <w:r w:rsidR="00A06176">
        <w:rPr>
          <w:sz w:val="36"/>
          <w:szCs w:val="36"/>
        </w:rPr>
        <w:t xml:space="preserve">small claims </w:t>
      </w:r>
      <w:r w:rsidR="00AA21E2">
        <w:rPr>
          <w:sz w:val="36"/>
          <w:szCs w:val="36"/>
        </w:rPr>
        <w:t xml:space="preserve">and rent </w:t>
      </w:r>
      <w:r w:rsidR="00A06176">
        <w:rPr>
          <w:sz w:val="36"/>
          <w:szCs w:val="36"/>
        </w:rPr>
        <w:t>courts.</w:t>
      </w:r>
      <w:r w:rsidR="000D3894">
        <w:rPr>
          <w:sz w:val="36"/>
          <w:szCs w:val="36"/>
        </w:rPr>
        <w:t xml:space="preserve"> </w:t>
      </w:r>
      <w:r w:rsidR="00A5410F">
        <w:rPr>
          <w:sz w:val="36"/>
          <w:szCs w:val="36"/>
        </w:rPr>
        <w:t>We can’t leave everything to the Federal Reserve.</w:t>
      </w:r>
      <w:r w:rsidR="00D47348">
        <w:rPr>
          <w:sz w:val="36"/>
          <w:szCs w:val="36"/>
        </w:rPr>
        <w:t xml:space="preserve"> </w:t>
      </w:r>
      <w:r w:rsidR="00A5410F">
        <w:rPr>
          <w:sz w:val="36"/>
          <w:szCs w:val="36"/>
        </w:rPr>
        <w:t xml:space="preserve"> Programs should be underway in</w:t>
      </w:r>
      <w:r w:rsidR="00A06176">
        <w:rPr>
          <w:sz w:val="36"/>
          <w:szCs w:val="36"/>
        </w:rPr>
        <w:t xml:space="preserve"> law </w:t>
      </w:r>
      <w:r w:rsidR="00A5410F">
        <w:rPr>
          <w:sz w:val="36"/>
          <w:szCs w:val="36"/>
        </w:rPr>
        <w:t>schools</w:t>
      </w:r>
      <w:r w:rsidR="00A06176">
        <w:rPr>
          <w:sz w:val="36"/>
          <w:szCs w:val="36"/>
        </w:rPr>
        <w:t xml:space="preserve"> </w:t>
      </w:r>
      <w:r w:rsidR="00A5410F">
        <w:rPr>
          <w:sz w:val="36"/>
          <w:szCs w:val="36"/>
        </w:rPr>
        <w:t xml:space="preserve">and </w:t>
      </w:r>
      <w:r w:rsidR="006A083A">
        <w:rPr>
          <w:sz w:val="36"/>
          <w:szCs w:val="36"/>
        </w:rPr>
        <w:t xml:space="preserve">at every level of </w:t>
      </w:r>
      <w:r w:rsidR="00A5410F">
        <w:rPr>
          <w:sz w:val="36"/>
          <w:szCs w:val="36"/>
        </w:rPr>
        <w:t xml:space="preserve">government to </w:t>
      </w:r>
      <w:r w:rsidR="00D47348">
        <w:rPr>
          <w:sz w:val="36"/>
          <w:szCs w:val="36"/>
        </w:rPr>
        <w:t>design a</w:t>
      </w:r>
      <w:r w:rsidR="00A5410F">
        <w:rPr>
          <w:sz w:val="36"/>
          <w:szCs w:val="36"/>
        </w:rPr>
        <w:t xml:space="preserve">nd to </w:t>
      </w:r>
      <w:r w:rsidR="00A06176">
        <w:rPr>
          <w:sz w:val="36"/>
          <w:szCs w:val="36"/>
        </w:rPr>
        <w:t xml:space="preserve">staff </w:t>
      </w:r>
      <w:r w:rsidR="00A5410F">
        <w:rPr>
          <w:sz w:val="36"/>
          <w:szCs w:val="36"/>
        </w:rPr>
        <w:t>a virus-driven</w:t>
      </w:r>
      <w:r w:rsidR="00AA21E2">
        <w:rPr>
          <w:sz w:val="36"/>
          <w:szCs w:val="36"/>
        </w:rPr>
        <w:t xml:space="preserve"> </w:t>
      </w:r>
      <w:r w:rsidR="00A06176">
        <w:rPr>
          <w:sz w:val="36"/>
          <w:szCs w:val="36"/>
        </w:rPr>
        <w:t>system</w:t>
      </w:r>
      <w:r w:rsidR="00D47348">
        <w:rPr>
          <w:sz w:val="36"/>
          <w:szCs w:val="36"/>
        </w:rPr>
        <w:t xml:space="preserve"> for identifying and realistically re-setting the terms of what have become unfulfillable contract obligations</w:t>
      </w:r>
      <w:r>
        <w:rPr>
          <w:sz w:val="36"/>
          <w:szCs w:val="36"/>
        </w:rPr>
        <w:t xml:space="preserve">. </w:t>
      </w:r>
    </w:p>
    <w:p w14:paraId="353A38E1" w14:textId="77777777" w:rsidR="00F978D5" w:rsidRDefault="00F978D5">
      <w:pPr>
        <w:rPr>
          <w:sz w:val="36"/>
          <w:szCs w:val="36"/>
        </w:rPr>
      </w:pPr>
      <w:r>
        <w:rPr>
          <w:sz w:val="36"/>
          <w:szCs w:val="36"/>
        </w:rPr>
        <w:br w:type="page"/>
      </w:r>
    </w:p>
    <w:p w14:paraId="15A4EAA1" w14:textId="77777777" w:rsidR="00F978D5" w:rsidRPr="00F978D5" w:rsidRDefault="00F978D5" w:rsidP="00F978D5">
      <w:pPr>
        <w:shd w:val="clear" w:color="auto" w:fill="FFFFFF"/>
        <w:spacing w:after="0" w:line="240" w:lineRule="auto"/>
        <w:jc w:val="center"/>
        <w:rPr>
          <w:b/>
          <w:sz w:val="36"/>
          <w:szCs w:val="36"/>
        </w:rPr>
      </w:pPr>
      <w:r w:rsidRPr="00F978D5">
        <w:rPr>
          <w:b/>
          <w:sz w:val="36"/>
          <w:szCs w:val="36"/>
        </w:rPr>
        <w:lastRenderedPageBreak/>
        <w:t>Figure 1</w:t>
      </w:r>
    </w:p>
    <w:p w14:paraId="72C9E2A0" w14:textId="77777777" w:rsidR="00F978D5" w:rsidRPr="00F978D5" w:rsidRDefault="00F978D5" w:rsidP="00F978D5">
      <w:pPr>
        <w:shd w:val="clear" w:color="auto" w:fill="FFFFFF"/>
        <w:spacing w:after="0" w:line="240" w:lineRule="auto"/>
        <w:jc w:val="center"/>
        <w:rPr>
          <w:b/>
          <w:sz w:val="36"/>
          <w:szCs w:val="36"/>
        </w:rPr>
      </w:pPr>
      <w:r w:rsidRPr="00F978D5">
        <w:rPr>
          <w:b/>
          <w:sz w:val="36"/>
          <w:szCs w:val="36"/>
        </w:rPr>
        <w:t>Names of Crisis-Driven Programs Assigned to the Fed</w:t>
      </w:r>
    </w:p>
    <w:p w14:paraId="4608008C" w14:textId="77777777" w:rsidR="00F978D5" w:rsidRDefault="00F978D5" w:rsidP="00F978D5">
      <w:pPr>
        <w:shd w:val="clear" w:color="auto" w:fill="FFFFFF"/>
        <w:spacing w:after="0" w:line="240" w:lineRule="auto"/>
        <w:rPr>
          <w:rFonts w:ascii="Arial" w:eastAsia="Times New Roman" w:hAnsi="Arial" w:cs="Arial"/>
          <w:color w:val="222222"/>
          <w:sz w:val="24"/>
          <w:szCs w:val="24"/>
        </w:rPr>
      </w:pPr>
    </w:p>
    <w:p w14:paraId="3C09CE68" w14:textId="77777777" w:rsidR="00F978D5" w:rsidRPr="00025003" w:rsidRDefault="00F978D5" w:rsidP="00F978D5">
      <w:pPr>
        <w:shd w:val="clear" w:color="auto" w:fill="FFFFFF"/>
        <w:spacing w:after="0" w:line="240" w:lineRule="auto"/>
        <w:rPr>
          <w:rFonts w:ascii="Arial" w:eastAsia="Times New Roman" w:hAnsi="Arial" w:cs="Arial"/>
          <w:color w:val="222222"/>
          <w:sz w:val="24"/>
          <w:szCs w:val="24"/>
        </w:rPr>
      </w:pPr>
    </w:p>
    <w:p w14:paraId="5F403390"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Primary Dealer Credit Facility PDCF</w:t>
      </w:r>
    </w:p>
    <w:p w14:paraId="3D06F59A"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Term Asset-Back Securities Loan Facility TALF</w:t>
      </w:r>
    </w:p>
    <w:p w14:paraId="4F08EA10"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Money Market Mutual Fund Liquidity Facility MMLF</w:t>
      </w:r>
    </w:p>
    <w:p w14:paraId="24084ED7"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Paycheck Protection Program Liquidity Facility PPPLF</w:t>
      </w:r>
    </w:p>
    <w:p w14:paraId="6DC55E93"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Primary Money Market Facility PMCCF</w:t>
      </w:r>
    </w:p>
    <w:p w14:paraId="47CA30C0"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Secondary Market Commercial Credit Facility SMCCF</w:t>
      </w:r>
    </w:p>
    <w:p w14:paraId="32BD1FA0"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Commercial Paper Funding Facility CPFF</w:t>
      </w:r>
    </w:p>
    <w:p w14:paraId="1C7309DB"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Main Street New Loan Facility MSNLF</w:t>
      </w:r>
    </w:p>
    <w:p w14:paraId="044DCA0A"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Main Street Priority Loan Facility MSPLF</w:t>
      </w:r>
    </w:p>
    <w:p w14:paraId="374C8CF1"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Main Street Expanded Loan Facility MSELF</w:t>
      </w:r>
    </w:p>
    <w:p w14:paraId="0EC7D2F2"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Municipal Liquidity Facility MLF</w:t>
      </w:r>
    </w:p>
    <w:p w14:paraId="22F435C7" w14:textId="77777777" w:rsidR="00F978D5" w:rsidRPr="00025003" w:rsidRDefault="00F978D5" w:rsidP="00F978D5">
      <w:pPr>
        <w:shd w:val="clear" w:color="auto" w:fill="FFFFFF"/>
        <w:spacing w:after="0" w:line="360" w:lineRule="auto"/>
        <w:rPr>
          <w:rFonts w:ascii="Arial" w:eastAsia="Times New Roman" w:hAnsi="Arial" w:cs="Arial"/>
          <w:color w:val="222222"/>
          <w:sz w:val="24"/>
          <w:szCs w:val="24"/>
        </w:rPr>
      </w:pPr>
      <w:r w:rsidRPr="00025003">
        <w:rPr>
          <w:rFonts w:ascii="Arial" w:eastAsia="Times New Roman" w:hAnsi="Arial" w:cs="Arial"/>
          <w:color w:val="222222"/>
          <w:sz w:val="24"/>
          <w:szCs w:val="24"/>
        </w:rPr>
        <w:t>Central Bank Liquidity Swaps CBLS</w:t>
      </w:r>
    </w:p>
    <w:p w14:paraId="0DBFDF0D" w14:textId="77777777" w:rsidR="00F978D5" w:rsidRDefault="00F978D5" w:rsidP="00F978D5">
      <w:pPr>
        <w:shd w:val="clear" w:color="auto" w:fill="FFFFFF"/>
        <w:spacing w:after="0" w:line="240" w:lineRule="auto"/>
        <w:rPr>
          <w:rFonts w:ascii="Arial" w:eastAsia="Times New Roman" w:hAnsi="Arial" w:cs="Arial"/>
          <w:color w:val="222222"/>
          <w:sz w:val="24"/>
          <w:szCs w:val="24"/>
        </w:rPr>
      </w:pPr>
    </w:p>
    <w:p w14:paraId="14DC9B57" w14:textId="77777777" w:rsidR="00F978D5" w:rsidRPr="00025003" w:rsidRDefault="00F978D5" w:rsidP="00F978D5">
      <w:pPr>
        <w:shd w:val="clear" w:color="auto" w:fill="FFFFFF"/>
        <w:spacing w:after="0" w:line="240" w:lineRule="auto"/>
        <w:rPr>
          <w:rFonts w:ascii="Arial" w:eastAsia="Times New Roman" w:hAnsi="Arial" w:cs="Arial"/>
          <w:color w:val="222222"/>
          <w:sz w:val="24"/>
          <w:szCs w:val="24"/>
        </w:rPr>
      </w:pPr>
    </w:p>
    <w:p w14:paraId="6E40131F" w14:textId="77777777" w:rsidR="00F978D5" w:rsidRPr="00025003" w:rsidRDefault="00F978D5" w:rsidP="00F978D5">
      <w:pPr>
        <w:shd w:val="clear" w:color="auto" w:fill="FFFFFF"/>
        <w:spacing w:after="0" w:line="240" w:lineRule="auto"/>
        <w:rPr>
          <w:rFonts w:ascii="Arial" w:eastAsia="Times New Roman" w:hAnsi="Arial" w:cs="Arial"/>
          <w:color w:val="222222"/>
          <w:sz w:val="24"/>
          <w:szCs w:val="24"/>
        </w:rPr>
      </w:pPr>
      <w:r w:rsidRPr="00025003">
        <w:rPr>
          <w:rFonts w:ascii="Arial" w:eastAsia="Times New Roman" w:hAnsi="Arial" w:cs="Arial"/>
          <w:color w:val="222222"/>
          <w:sz w:val="24"/>
          <w:szCs w:val="24"/>
        </w:rPr>
        <w:t xml:space="preserve">Source: Compiled by Robert A. </w:t>
      </w:r>
      <w:proofErr w:type="spellStart"/>
      <w:r w:rsidRPr="00025003">
        <w:rPr>
          <w:rFonts w:ascii="Arial" w:eastAsia="Times New Roman" w:hAnsi="Arial" w:cs="Arial"/>
          <w:color w:val="222222"/>
          <w:sz w:val="24"/>
          <w:szCs w:val="24"/>
        </w:rPr>
        <w:t>Eisenbeis</w:t>
      </w:r>
      <w:proofErr w:type="spellEnd"/>
      <w:r w:rsidRPr="00025003">
        <w:rPr>
          <w:rFonts w:ascii="Arial" w:eastAsia="Times New Roman" w:hAnsi="Arial" w:cs="Arial"/>
          <w:color w:val="222222"/>
          <w:sz w:val="24"/>
          <w:szCs w:val="24"/>
        </w:rPr>
        <w:t xml:space="preserve"> from the Davis Polk website</w:t>
      </w:r>
    </w:p>
    <w:p w14:paraId="2B2A8725" w14:textId="77777777" w:rsidR="00F978D5" w:rsidRDefault="00F978D5" w:rsidP="00F978D5">
      <w:pPr>
        <w:rPr>
          <w:sz w:val="36"/>
          <w:szCs w:val="36"/>
        </w:rPr>
      </w:pPr>
      <w:r>
        <w:rPr>
          <w:sz w:val="36"/>
          <w:szCs w:val="36"/>
        </w:rPr>
        <w:br w:type="page"/>
      </w:r>
    </w:p>
    <w:p w14:paraId="198F6C16" w14:textId="77777777" w:rsidR="00F978D5" w:rsidRDefault="00F978D5" w:rsidP="00F978D5">
      <w:pPr>
        <w:spacing w:after="100" w:afterAutospacing="1" w:line="240" w:lineRule="auto"/>
        <w:contextualSpacing/>
        <w:jc w:val="center"/>
        <w:rPr>
          <w:b/>
          <w:sz w:val="36"/>
          <w:szCs w:val="36"/>
        </w:rPr>
      </w:pPr>
      <w:r w:rsidRPr="00F978D5">
        <w:rPr>
          <w:b/>
          <w:sz w:val="36"/>
          <w:szCs w:val="36"/>
        </w:rPr>
        <w:lastRenderedPageBreak/>
        <w:t>FIGURE 2</w:t>
      </w:r>
    </w:p>
    <w:p w14:paraId="2E325312" w14:textId="77777777" w:rsidR="00F978D5" w:rsidRDefault="00F978D5" w:rsidP="00F978D5">
      <w:pPr>
        <w:spacing w:after="100" w:afterAutospacing="1" w:line="240" w:lineRule="auto"/>
        <w:contextualSpacing/>
        <w:jc w:val="center"/>
        <w:rPr>
          <w:b/>
          <w:sz w:val="36"/>
          <w:szCs w:val="36"/>
        </w:rPr>
      </w:pPr>
      <w:r>
        <w:rPr>
          <w:b/>
          <w:sz w:val="36"/>
          <w:szCs w:val="36"/>
        </w:rPr>
        <w:t>NEW SPECIAL FEDERAL RESERVE LENDING PROGRAMS</w:t>
      </w:r>
    </w:p>
    <w:p w14:paraId="5BA9B387" w14:textId="77777777" w:rsidR="00F978D5" w:rsidRPr="00F978D5" w:rsidRDefault="00F978D5" w:rsidP="00F978D5">
      <w:pPr>
        <w:spacing w:after="100" w:afterAutospacing="1" w:line="240" w:lineRule="auto"/>
        <w:contextualSpacing/>
        <w:jc w:val="center"/>
        <w:rPr>
          <w:b/>
          <w:sz w:val="36"/>
          <w:szCs w:val="36"/>
        </w:rPr>
      </w:pPr>
      <w:r>
        <w:rPr>
          <w:b/>
          <w:sz w:val="36"/>
          <w:szCs w:val="36"/>
        </w:rPr>
        <w:t>APRIL 1 TO JUNE 10</w:t>
      </w:r>
    </w:p>
    <w:p w14:paraId="185921A7" w14:textId="77777777" w:rsidR="00F978D5" w:rsidRDefault="00F978D5" w:rsidP="00F978D5">
      <w:pPr>
        <w:jc w:val="center"/>
        <w:rPr>
          <w:sz w:val="36"/>
          <w:szCs w:val="36"/>
        </w:rPr>
      </w:pPr>
      <w:r>
        <w:rPr>
          <w:noProof/>
          <w:sz w:val="36"/>
          <w:szCs w:val="36"/>
        </w:rPr>
        <w:drawing>
          <wp:inline distT="0" distB="0" distL="0" distR="0" wp14:anchorId="287F24C1" wp14:editId="30B1CBB8">
            <wp:extent cx="5934075" cy="3857625"/>
            <wp:effectExtent l="0" t="0" r="0" b="0"/>
            <wp:docPr id="3" name="Picture 3" descr="fposxz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sxz3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98"/>
                    <a:stretch/>
                  </pic:blipFill>
                  <pic:spPr bwMode="auto">
                    <a:xfrm>
                      <a:off x="0" y="0"/>
                      <a:ext cx="5934075" cy="3857625"/>
                    </a:xfrm>
                    <a:prstGeom prst="rect">
                      <a:avLst/>
                    </a:prstGeom>
                    <a:noFill/>
                    <a:ln>
                      <a:noFill/>
                    </a:ln>
                    <a:extLst>
                      <a:ext uri="{53640926-AAD7-44D8-BBD7-CCE9431645EC}">
                        <a14:shadowObscured xmlns:a14="http://schemas.microsoft.com/office/drawing/2010/main"/>
                      </a:ext>
                    </a:extLst>
                  </pic:spPr>
                </pic:pic>
              </a:graphicData>
            </a:graphic>
          </wp:inline>
        </w:drawing>
      </w:r>
    </w:p>
    <w:p w14:paraId="2E6CD4D1" w14:textId="77777777" w:rsidR="00F978D5" w:rsidRPr="00B84D96" w:rsidRDefault="00F978D5" w:rsidP="00F978D5">
      <w:pPr>
        <w:rPr>
          <w:rFonts w:ascii="Arial" w:hAnsi="Arial" w:cs="Arial"/>
          <w:bCs/>
          <w:color w:val="222222"/>
          <w:shd w:val="clear" w:color="auto" w:fill="FFFFFF"/>
        </w:rPr>
      </w:pPr>
      <w:r w:rsidRPr="00B84D96">
        <w:rPr>
          <w:rFonts w:ascii="Arial" w:hAnsi="Arial" w:cs="Arial"/>
          <w:bCs/>
          <w:color w:val="222222"/>
          <w:shd w:val="clear" w:color="auto" w:fill="FFFFFF"/>
        </w:rPr>
        <w:t>Source: The Federal Reserve’s H4.1 weekly release.</w:t>
      </w:r>
    </w:p>
    <w:p w14:paraId="202D24E7" w14:textId="77777777" w:rsidR="00603919" w:rsidRDefault="00603919" w:rsidP="00F978D5">
      <w:pPr>
        <w:rPr>
          <w:rFonts w:ascii="Arial" w:hAnsi="Arial" w:cs="Arial"/>
          <w:bCs/>
          <w:color w:val="222222"/>
          <w:shd w:val="clear" w:color="auto" w:fill="FFFFFF"/>
        </w:rPr>
      </w:pPr>
      <w:r w:rsidRPr="00B84D96">
        <w:rPr>
          <w:rFonts w:ascii="Arial" w:hAnsi="Arial" w:cs="Arial"/>
          <w:bCs/>
          <w:color w:val="222222"/>
          <w:shd w:val="clear" w:color="auto" w:fill="FFFFFF"/>
        </w:rPr>
        <w:t>Note: New data reported by the Fed about the lending programs on June 19th indicate that using the level of net assets overstates the impact of these programs.  Much of the data in Figure 2 represent Treasury capital contributions and not actual lending.</w:t>
      </w:r>
    </w:p>
    <w:p w14:paraId="7EED76A0" w14:textId="77777777" w:rsidR="00F978D5" w:rsidRPr="009A4BDD" w:rsidRDefault="00037CAE" w:rsidP="00F978D5">
      <w:pPr>
        <w:rPr>
          <w:sz w:val="28"/>
          <w:szCs w:val="28"/>
        </w:rPr>
      </w:pPr>
      <w:r>
        <w:rPr>
          <w:rFonts w:ascii="Arial" w:hAnsi="Arial" w:cs="Arial"/>
          <w:bCs/>
          <w:noProof/>
          <w:color w:val="222222"/>
        </w:rPr>
        <w:pict w14:anchorId="2FE10FE3">
          <v:rect id="_x0000_s1026" alt="" style="position:absolute;margin-left:2.25pt;margin-top:10.6pt;width:14.25pt;height:9.75pt;z-index:251658240;mso-wrap-edited:f;mso-width-percent:0;mso-height-percent:0;mso-width-percent:0;mso-height-percent:0" stroked="f"/>
        </w:pict>
      </w:r>
      <w:r w:rsidR="00603919">
        <w:rPr>
          <w:rFonts w:ascii="Arial" w:hAnsi="Arial" w:cs="Arial"/>
          <w:bCs/>
          <w:noProof/>
          <w:color w:val="222222"/>
          <w:shd w:val="clear" w:color="auto" w:fill="FFFFFF"/>
        </w:rPr>
        <w:drawing>
          <wp:inline distT="0" distB="0" distL="0" distR="0" wp14:anchorId="5D6596D7" wp14:editId="1D5892CB">
            <wp:extent cx="5934075" cy="2019300"/>
            <wp:effectExtent l="0" t="0" r="0" b="0"/>
            <wp:docPr id="4" name="Picture 4" descr="C:\Users\mancinsa\Downloads\suc2wk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insa\Downloads\suc2wko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19300"/>
                    </a:xfrm>
                    <a:prstGeom prst="rect">
                      <a:avLst/>
                    </a:prstGeom>
                    <a:noFill/>
                    <a:ln>
                      <a:noFill/>
                    </a:ln>
                  </pic:spPr>
                </pic:pic>
              </a:graphicData>
            </a:graphic>
          </wp:inline>
        </w:drawing>
      </w:r>
      <w:r w:rsidR="00F978D5">
        <w:rPr>
          <w:sz w:val="36"/>
          <w:szCs w:val="36"/>
        </w:rPr>
        <w:br w:type="page"/>
      </w:r>
    </w:p>
    <w:p w14:paraId="76ECC79E" w14:textId="77777777" w:rsidR="00F978D5" w:rsidRPr="00F978D5" w:rsidRDefault="00F978D5" w:rsidP="00F978D5">
      <w:pPr>
        <w:jc w:val="center"/>
        <w:rPr>
          <w:b/>
          <w:sz w:val="36"/>
          <w:szCs w:val="36"/>
        </w:rPr>
      </w:pPr>
      <w:r w:rsidRPr="00F978D5">
        <w:rPr>
          <w:b/>
          <w:sz w:val="36"/>
          <w:szCs w:val="36"/>
        </w:rPr>
        <w:lastRenderedPageBreak/>
        <w:t>FIGURE 3</w:t>
      </w:r>
    </w:p>
    <w:p w14:paraId="74B2DD06" w14:textId="77777777" w:rsidR="00F978D5" w:rsidRDefault="00F978D5" w:rsidP="00F978D5">
      <w:pPr>
        <w:jc w:val="center"/>
        <w:rPr>
          <w:sz w:val="36"/>
          <w:szCs w:val="36"/>
        </w:rPr>
      </w:pPr>
      <w:r>
        <w:rPr>
          <w:noProof/>
        </w:rPr>
        <w:drawing>
          <wp:inline distT="0" distB="0" distL="0" distR="0" wp14:anchorId="6A0443AB" wp14:editId="40A4F3BA">
            <wp:extent cx="5425440" cy="3791585"/>
            <wp:effectExtent l="19050" t="0" r="3810" b="0"/>
            <wp:docPr id="1" name="Picture 1" descr="https://s-marketwatch-com.cdn.ampproject.org/i/s/s.marketwatch.com/public/resources/images/MW-II828_layoff_MG_2020061809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ketwatch-com.cdn.ampproject.org/i/s/s.marketwatch.com/public/resources/images/MW-II828_layoff_MG_20200618094656.jpg"/>
                    <pic:cNvPicPr>
                      <a:picLocks noChangeAspect="1" noChangeArrowheads="1"/>
                    </pic:cNvPicPr>
                  </pic:nvPicPr>
                  <pic:blipFill>
                    <a:blip r:embed="rId9" cstate="print"/>
                    <a:srcRect/>
                    <a:stretch>
                      <a:fillRect/>
                    </a:stretch>
                  </pic:blipFill>
                  <pic:spPr bwMode="auto">
                    <a:xfrm>
                      <a:off x="0" y="0"/>
                      <a:ext cx="5425440" cy="3791585"/>
                    </a:xfrm>
                    <a:prstGeom prst="rect">
                      <a:avLst/>
                    </a:prstGeom>
                    <a:noFill/>
                    <a:ln w="9525">
                      <a:noFill/>
                      <a:miter lim="800000"/>
                      <a:headEnd/>
                      <a:tailEnd/>
                    </a:ln>
                  </pic:spPr>
                </pic:pic>
              </a:graphicData>
            </a:graphic>
          </wp:inline>
        </w:drawing>
      </w:r>
    </w:p>
    <w:p w14:paraId="0CD62D4A" w14:textId="77777777" w:rsidR="00F978D5" w:rsidRDefault="00F978D5" w:rsidP="00F978D5">
      <w:pPr>
        <w:jc w:val="center"/>
        <w:rPr>
          <w:sz w:val="36"/>
          <w:szCs w:val="36"/>
        </w:rPr>
      </w:pPr>
    </w:p>
    <w:p w14:paraId="0F9417F9" w14:textId="77777777" w:rsidR="00F978D5" w:rsidRDefault="00F978D5">
      <w:pPr>
        <w:rPr>
          <w:sz w:val="36"/>
          <w:szCs w:val="36"/>
        </w:rPr>
      </w:pPr>
      <w:r>
        <w:rPr>
          <w:sz w:val="36"/>
          <w:szCs w:val="36"/>
        </w:rPr>
        <w:br w:type="page"/>
      </w:r>
    </w:p>
    <w:p w14:paraId="3F6865C0" w14:textId="77777777" w:rsidR="00F978D5" w:rsidRPr="00F978D5" w:rsidRDefault="00F978D5" w:rsidP="00F978D5">
      <w:pPr>
        <w:jc w:val="center"/>
        <w:rPr>
          <w:b/>
          <w:sz w:val="36"/>
          <w:szCs w:val="36"/>
        </w:rPr>
      </w:pPr>
      <w:r w:rsidRPr="00F978D5">
        <w:rPr>
          <w:b/>
          <w:sz w:val="36"/>
          <w:szCs w:val="36"/>
        </w:rPr>
        <w:lastRenderedPageBreak/>
        <w:t>FIGURE 4</w:t>
      </w:r>
    </w:p>
    <w:p w14:paraId="23145CBB" w14:textId="77777777" w:rsidR="00F978D5" w:rsidRDefault="00F978D5" w:rsidP="00F978D5">
      <w:pPr>
        <w:jc w:val="center"/>
        <w:rPr>
          <w:sz w:val="36"/>
          <w:szCs w:val="36"/>
        </w:rPr>
      </w:pPr>
    </w:p>
    <w:p w14:paraId="5F362D93" w14:textId="77777777" w:rsidR="00F978D5" w:rsidRDefault="00F978D5" w:rsidP="00F978D5">
      <w:pPr>
        <w:jc w:val="center"/>
        <w:rPr>
          <w:sz w:val="36"/>
          <w:szCs w:val="36"/>
        </w:rPr>
      </w:pPr>
      <w:r>
        <w:rPr>
          <w:noProof/>
          <w:sz w:val="36"/>
          <w:szCs w:val="36"/>
        </w:rPr>
        <w:drawing>
          <wp:inline distT="0" distB="0" distL="0" distR="0" wp14:anchorId="13270309" wp14:editId="5AAC294A">
            <wp:extent cx="5943600" cy="3343275"/>
            <wp:effectExtent l="0" t="0" r="0" b="0"/>
            <wp:docPr id="2" name="Picture 2"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C7F50B8" w14:textId="77777777" w:rsidR="00F978D5" w:rsidRDefault="00F978D5" w:rsidP="00F978D5">
      <w:pPr>
        <w:jc w:val="center"/>
        <w:rPr>
          <w:sz w:val="36"/>
          <w:szCs w:val="36"/>
        </w:rPr>
      </w:pPr>
    </w:p>
    <w:p w14:paraId="7B488765" w14:textId="77777777" w:rsidR="00AB3940" w:rsidRPr="00C845AC" w:rsidRDefault="00AB3940">
      <w:pPr>
        <w:rPr>
          <w:sz w:val="36"/>
          <w:szCs w:val="36"/>
        </w:rPr>
      </w:pPr>
    </w:p>
    <w:sectPr w:rsidR="00AB3940" w:rsidRPr="00C845AC" w:rsidSect="005079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B796" w14:textId="77777777" w:rsidR="00037CAE" w:rsidRDefault="00037CAE" w:rsidP="00F978D5">
      <w:pPr>
        <w:spacing w:after="0" w:line="240" w:lineRule="auto"/>
      </w:pPr>
      <w:r>
        <w:separator/>
      </w:r>
    </w:p>
  </w:endnote>
  <w:endnote w:type="continuationSeparator" w:id="0">
    <w:p w14:paraId="4FEE8FB8" w14:textId="77777777" w:rsidR="00037CAE" w:rsidRDefault="00037CAE" w:rsidP="00F9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624"/>
      <w:docPartObj>
        <w:docPartGallery w:val="Page Numbers (Bottom of Page)"/>
        <w:docPartUnique/>
      </w:docPartObj>
    </w:sdtPr>
    <w:sdtEndPr>
      <w:rPr>
        <w:noProof/>
      </w:rPr>
    </w:sdtEndPr>
    <w:sdtContent>
      <w:p w14:paraId="6D04237C" w14:textId="77777777" w:rsidR="00F978D5" w:rsidRDefault="00B63A21">
        <w:pPr>
          <w:pStyle w:val="Footer"/>
          <w:jc w:val="right"/>
        </w:pPr>
        <w:r>
          <w:fldChar w:fldCharType="begin"/>
        </w:r>
        <w:r w:rsidR="00F978D5">
          <w:instrText xml:space="preserve"> PAGE   \* MERGEFORMAT </w:instrText>
        </w:r>
        <w:r>
          <w:fldChar w:fldCharType="separate"/>
        </w:r>
        <w:r w:rsidR="009A4BDD">
          <w:rPr>
            <w:noProof/>
          </w:rPr>
          <w:t>10</w:t>
        </w:r>
        <w:r>
          <w:rPr>
            <w:noProof/>
          </w:rPr>
          <w:fldChar w:fldCharType="end"/>
        </w:r>
      </w:p>
    </w:sdtContent>
  </w:sdt>
  <w:p w14:paraId="52D24CEC" w14:textId="77777777" w:rsidR="00F978D5" w:rsidRDefault="00F9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2463" w14:textId="77777777" w:rsidR="00037CAE" w:rsidRDefault="00037CAE" w:rsidP="00F978D5">
      <w:pPr>
        <w:spacing w:after="0" w:line="240" w:lineRule="auto"/>
      </w:pPr>
      <w:r>
        <w:separator/>
      </w:r>
    </w:p>
  </w:footnote>
  <w:footnote w:type="continuationSeparator" w:id="0">
    <w:p w14:paraId="6EDD58B9" w14:textId="77777777" w:rsidR="00037CAE" w:rsidRDefault="00037CAE" w:rsidP="00F978D5">
      <w:pPr>
        <w:spacing w:after="0" w:line="240" w:lineRule="auto"/>
      </w:pPr>
      <w:r>
        <w:continuationSeparator/>
      </w:r>
    </w:p>
  </w:footnote>
  <w:footnote w:id="1">
    <w:p w14:paraId="36498AAD" w14:textId="77777777" w:rsidR="00E40C0E" w:rsidRPr="00B84D96" w:rsidRDefault="00E40C0E">
      <w:pPr>
        <w:pStyle w:val="FootnoteText"/>
        <w:rPr>
          <w:sz w:val="24"/>
          <w:szCs w:val="24"/>
        </w:rPr>
      </w:pPr>
      <w:r>
        <w:rPr>
          <w:rStyle w:val="FootnoteReference"/>
        </w:rPr>
        <w:t>*</w:t>
      </w:r>
      <w:r>
        <w:t xml:space="preserve"> </w:t>
      </w:r>
      <w:r w:rsidRPr="00B84D96">
        <w:rPr>
          <w:sz w:val="24"/>
          <w:szCs w:val="24"/>
        </w:rPr>
        <w:t xml:space="preserve">The author wishes to thank Robert </w:t>
      </w:r>
      <w:proofErr w:type="spellStart"/>
      <w:r w:rsidRPr="00B84D96">
        <w:rPr>
          <w:sz w:val="24"/>
          <w:szCs w:val="24"/>
        </w:rPr>
        <w:t>Eisenbeis</w:t>
      </w:r>
      <w:proofErr w:type="spellEnd"/>
      <w:r w:rsidRPr="00B84D96">
        <w:rPr>
          <w:sz w:val="24"/>
          <w:szCs w:val="24"/>
        </w:rPr>
        <w:t xml:space="preserve"> and Richard Herring for their valuable comments and suggestions.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5AC"/>
    <w:rsid w:val="00012252"/>
    <w:rsid w:val="000310A2"/>
    <w:rsid w:val="0003166B"/>
    <w:rsid w:val="000322EA"/>
    <w:rsid w:val="00037CAE"/>
    <w:rsid w:val="0009200E"/>
    <w:rsid w:val="000B5EE4"/>
    <w:rsid w:val="000C5830"/>
    <w:rsid w:val="000D3894"/>
    <w:rsid w:val="000F7074"/>
    <w:rsid w:val="00265817"/>
    <w:rsid w:val="002B34D5"/>
    <w:rsid w:val="003424C8"/>
    <w:rsid w:val="0038438F"/>
    <w:rsid w:val="00391CD0"/>
    <w:rsid w:val="003D7C94"/>
    <w:rsid w:val="003E12DA"/>
    <w:rsid w:val="003F0F5E"/>
    <w:rsid w:val="00400ECB"/>
    <w:rsid w:val="0040125C"/>
    <w:rsid w:val="0040529B"/>
    <w:rsid w:val="00467143"/>
    <w:rsid w:val="004736B7"/>
    <w:rsid w:val="004742A7"/>
    <w:rsid w:val="004916BA"/>
    <w:rsid w:val="005079C2"/>
    <w:rsid w:val="00577E4E"/>
    <w:rsid w:val="00583B28"/>
    <w:rsid w:val="005D6950"/>
    <w:rsid w:val="005F762C"/>
    <w:rsid w:val="00603919"/>
    <w:rsid w:val="00604BB6"/>
    <w:rsid w:val="00657AD3"/>
    <w:rsid w:val="00694806"/>
    <w:rsid w:val="006A083A"/>
    <w:rsid w:val="006C14CA"/>
    <w:rsid w:val="006F4333"/>
    <w:rsid w:val="0070197D"/>
    <w:rsid w:val="00770BB0"/>
    <w:rsid w:val="007D7FB8"/>
    <w:rsid w:val="00807712"/>
    <w:rsid w:val="00817FDB"/>
    <w:rsid w:val="00827D15"/>
    <w:rsid w:val="00830EE3"/>
    <w:rsid w:val="00845915"/>
    <w:rsid w:val="00853D78"/>
    <w:rsid w:val="00861433"/>
    <w:rsid w:val="008939BF"/>
    <w:rsid w:val="008F3C79"/>
    <w:rsid w:val="009060D2"/>
    <w:rsid w:val="0094641B"/>
    <w:rsid w:val="009A4BDD"/>
    <w:rsid w:val="009B0845"/>
    <w:rsid w:val="009E44FC"/>
    <w:rsid w:val="009F2E8B"/>
    <w:rsid w:val="00A06176"/>
    <w:rsid w:val="00A07AA4"/>
    <w:rsid w:val="00A5410F"/>
    <w:rsid w:val="00A815A8"/>
    <w:rsid w:val="00A83A15"/>
    <w:rsid w:val="00AA21E2"/>
    <w:rsid w:val="00AB3940"/>
    <w:rsid w:val="00B4345C"/>
    <w:rsid w:val="00B63A21"/>
    <w:rsid w:val="00B76507"/>
    <w:rsid w:val="00B84D96"/>
    <w:rsid w:val="00B8561E"/>
    <w:rsid w:val="00BB2DBE"/>
    <w:rsid w:val="00BC2983"/>
    <w:rsid w:val="00BE5BC3"/>
    <w:rsid w:val="00BF06CF"/>
    <w:rsid w:val="00C845AC"/>
    <w:rsid w:val="00C84D05"/>
    <w:rsid w:val="00C93D16"/>
    <w:rsid w:val="00C959A0"/>
    <w:rsid w:val="00D01308"/>
    <w:rsid w:val="00D23373"/>
    <w:rsid w:val="00D47348"/>
    <w:rsid w:val="00D706FC"/>
    <w:rsid w:val="00DA7642"/>
    <w:rsid w:val="00DB7165"/>
    <w:rsid w:val="00E30041"/>
    <w:rsid w:val="00E40C0E"/>
    <w:rsid w:val="00E77620"/>
    <w:rsid w:val="00E92923"/>
    <w:rsid w:val="00ED12A5"/>
    <w:rsid w:val="00EE4AA7"/>
    <w:rsid w:val="00F7664C"/>
    <w:rsid w:val="00F978D5"/>
    <w:rsid w:val="00FA400E"/>
    <w:rsid w:val="00FB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B3BE4"/>
  <w15:docId w15:val="{6FCA1695-0F24-4E04-99D2-BB78DC7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D5"/>
  </w:style>
  <w:style w:type="paragraph" w:styleId="Footer">
    <w:name w:val="footer"/>
    <w:basedOn w:val="Normal"/>
    <w:link w:val="FooterChar"/>
    <w:uiPriority w:val="99"/>
    <w:unhideWhenUsed/>
    <w:rsid w:val="00F9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D5"/>
  </w:style>
  <w:style w:type="character" w:styleId="CommentReference">
    <w:name w:val="annotation reference"/>
    <w:basedOn w:val="DefaultParagraphFont"/>
    <w:uiPriority w:val="99"/>
    <w:semiHidden/>
    <w:unhideWhenUsed/>
    <w:rsid w:val="00577E4E"/>
    <w:rPr>
      <w:sz w:val="16"/>
      <w:szCs w:val="16"/>
    </w:rPr>
  </w:style>
  <w:style w:type="paragraph" w:styleId="CommentText">
    <w:name w:val="annotation text"/>
    <w:basedOn w:val="Normal"/>
    <w:link w:val="CommentTextChar"/>
    <w:uiPriority w:val="99"/>
    <w:semiHidden/>
    <w:unhideWhenUsed/>
    <w:rsid w:val="00577E4E"/>
    <w:pPr>
      <w:spacing w:line="240" w:lineRule="auto"/>
    </w:pPr>
    <w:rPr>
      <w:sz w:val="20"/>
      <w:szCs w:val="20"/>
    </w:rPr>
  </w:style>
  <w:style w:type="character" w:customStyle="1" w:styleId="CommentTextChar">
    <w:name w:val="Comment Text Char"/>
    <w:basedOn w:val="DefaultParagraphFont"/>
    <w:link w:val="CommentText"/>
    <w:uiPriority w:val="99"/>
    <w:semiHidden/>
    <w:rsid w:val="00577E4E"/>
    <w:rPr>
      <w:sz w:val="20"/>
      <w:szCs w:val="20"/>
    </w:rPr>
  </w:style>
  <w:style w:type="paragraph" w:styleId="CommentSubject">
    <w:name w:val="annotation subject"/>
    <w:basedOn w:val="CommentText"/>
    <w:next w:val="CommentText"/>
    <w:link w:val="CommentSubjectChar"/>
    <w:uiPriority w:val="99"/>
    <w:semiHidden/>
    <w:unhideWhenUsed/>
    <w:rsid w:val="00577E4E"/>
    <w:rPr>
      <w:b/>
      <w:bCs/>
    </w:rPr>
  </w:style>
  <w:style w:type="character" w:customStyle="1" w:styleId="CommentSubjectChar">
    <w:name w:val="Comment Subject Char"/>
    <w:basedOn w:val="CommentTextChar"/>
    <w:link w:val="CommentSubject"/>
    <w:uiPriority w:val="99"/>
    <w:semiHidden/>
    <w:rsid w:val="00577E4E"/>
    <w:rPr>
      <w:b/>
      <w:bCs/>
      <w:sz w:val="20"/>
      <w:szCs w:val="20"/>
    </w:rPr>
  </w:style>
  <w:style w:type="paragraph" w:styleId="BalloonText">
    <w:name w:val="Balloon Text"/>
    <w:basedOn w:val="Normal"/>
    <w:link w:val="BalloonTextChar"/>
    <w:uiPriority w:val="99"/>
    <w:semiHidden/>
    <w:unhideWhenUsed/>
    <w:rsid w:val="00577E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E4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40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C0E"/>
    <w:rPr>
      <w:sz w:val="20"/>
      <w:szCs w:val="20"/>
    </w:rPr>
  </w:style>
  <w:style w:type="character" w:styleId="FootnoteReference">
    <w:name w:val="footnote reference"/>
    <w:basedOn w:val="DefaultParagraphFont"/>
    <w:uiPriority w:val="99"/>
    <w:semiHidden/>
    <w:unhideWhenUsed/>
    <w:rsid w:val="00E40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53055-BFA8-8E47-92B4-ABE2073F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Kane</dc:creator>
  <cp:lastModifiedBy>kim Weinstein</cp:lastModifiedBy>
  <cp:revision>7</cp:revision>
  <cp:lastPrinted>2020-06-20T00:40:00Z</cp:lastPrinted>
  <dcterms:created xsi:type="dcterms:W3CDTF">2020-06-20T00:57:00Z</dcterms:created>
  <dcterms:modified xsi:type="dcterms:W3CDTF">2020-06-29T17:14:00Z</dcterms:modified>
</cp:coreProperties>
</file>